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888CA">
      <w:pPr>
        <w:bidi w:val="0"/>
        <w:ind w:left="0" w:right="0" w:firstLine="0"/>
        <w:jc w:val="right"/>
        <w:rPr>
          <w:rFonts w:ascii="Times New Roman" w:hAnsi="Times New Roman"/>
        </w:rPr>
      </w:pPr>
      <w:r>
        <w:t>Утвержден</w:t>
      </w:r>
      <w:r>
        <w:rPr>
          <w:lang w:val="ru-RU"/>
        </w:rPr>
        <w:t>о</w:t>
      </w:r>
      <w:r>
        <w:t xml:space="preserve"> </w:t>
      </w:r>
    </w:p>
    <w:p w14:paraId="7328BA2B">
      <w:pPr>
        <w:bidi w:val="0"/>
        <w:ind w:left="0" w:right="0" w:firstLine="0"/>
        <w:jc w:val="right"/>
        <w:rPr>
          <w:rFonts w:ascii="Times New Roman" w:hAnsi="Times New Roman"/>
        </w:rPr>
      </w:pPr>
      <w:r>
        <w:t>Приказом № Д-0</w:t>
      </w:r>
      <w:r>
        <w:rPr>
          <w:rFonts w:hint="default"/>
          <w:lang w:val="ru-RU"/>
        </w:rPr>
        <w:t>7</w:t>
      </w:r>
      <w:r>
        <w:t>/</w:t>
      </w:r>
      <w:r>
        <w:rPr>
          <w:rFonts w:hint="default"/>
          <w:lang w:val="en-US"/>
        </w:rPr>
        <w:t>2</w:t>
      </w:r>
      <w:r>
        <w:rPr>
          <w:rFonts w:hint="default"/>
          <w:lang w:val="ru-RU"/>
        </w:rPr>
        <w:t>8</w:t>
      </w:r>
      <w:r>
        <w:t xml:space="preserve">-1  от   </w:t>
      </w:r>
      <w:r>
        <w:rPr>
          <w:rFonts w:hint="default"/>
          <w:lang w:val="en-US"/>
        </w:rPr>
        <w:t>2</w:t>
      </w:r>
      <w:r>
        <w:rPr>
          <w:rFonts w:hint="default"/>
          <w:lang w:val="ru-RU"/>
        </w:rPr>
        <w:t>8</w:t>
      </w:r>
      <w:r>
        <w:t>.0</w:t>
      </w:r>
      <w:r>
        <w:rPr>
          <w:rFonts w:hint="default"/>
          <w:lang w:val="ru-RU"/>
        </w:rPr>
        <w:t>7</w:t>
      </w:r>
      <w:r>
        <w:t>.2025</w:t>
      </w:r>
    </w:p>
    <w:tbl>
      <w:tblPr>
        <w:tblStyle w:val="3"/>
        <w:tblW w:w="10277" w:type="dxa"/>
        <w:tblInd w:w="-1" w:type="dxa"/>
        <w:tblLayout w:type="fixed"/>
        <w:tblCellMar>
          <w:top w:w="0" w:type="dxa"/>
          <w:left w:w="70" w:type="dxa"/>
          <w:bottom w:w="0" w:type="dxa"/>
          <w:right w:w="70" w:type="dxa"/>
        </w:tblCellMar>
      </w:tblPr>
      <w:tblGrid>
        <w:gridCol w:w="645"/>
        <w:gridCol w:w="8066"/>
        <w:gridCol w:w="1566"/>
      </w:tblGrid>
      <w:tr w14:paraId="7DA1A62D">
        <w:tblPrEx>
          <w:tblCellMar>
            <w:top w:w="0" w:type="dxa"/>
            <w:left w:w="70" w:type="dxa"/>
            <w:bottom w:w="0" w:type="dxa"/>
            <w:right w:w="70" w:type="dxa"/>
          </w:tblCellMar>
        </w:tblPrEx>
        <w:tc>
          <w:tcPr>
            <w:tcW w:w="10277" w:type="dxa"/>
            <w:gridSpan w:val="3"/>
          </w:tcPr>
          <w:p w14:paraId="2BB20040">
            <w:pPr>
              <w:bidi w:val="0"/>
              <w:ind w:left="0" w:right="0" w:firstLine="0"/>
              <w:jc w:val="center"/>
              <w:rPr>
                <w:b/>
                <w:bCs/>
                <w:sz w:val="22"/>
                <w:szCs w:val="22"/>
              </w:rPr>
            </w:pPr>
          </w:p>
          <w:p w14:paraId="765BC9ED">
            <w:pPr>
              <w:bidi w:val="0"/>
              <w:ind w:left="0" w:right="0" w:firstLine="0"/>
              <w:jc w:val="center"/>
              <w:rPr>
                <w:b/>
                <w:bCs/>
                <w:sz w:val="22"/>
                <w:szCs w:val="22"/>
              </w:rPr>
            </w:pPr>
          </w:p>
          <w:p w14:paraId="44C6FECC">
            <w:pPr>
              <w:bidi w:val="0"/>
              <w:ind w:left="0" w:right="0" w:firstLine="0"/>
              <w:jc w:val="center"/>
              <w:rPr>
                <w:rFonts w:ascii="Times New Roman" w:hAnsi="Times New Roman"/>
                <w:b/>
                <w:bCs/>
                <w:sz w:val="22"/>
                <w:szCs w:val="22"/>
              </w:rPr>
            </w:pPr>
            <w:r>
              <w:rPr>
                <w:b/>
                <w:bCs/>
                <w:sz w:val="22"/>
                <w:szCs w:val="22"/>
              </w:rPr>
              <w:t>ПРЕЙСКУРАНТ  № 1</w:t>
            </w:r>
          </w:p>
          <w:p w14:paraId="7F615340">
            <w:pPr>
              <w:bidi w:val="0"/>
              <w:ind w:left="0" w:right="0" w:firstLine="0"/>
              <w:jc w:val="center"/>
              <w:rPr>
                <w:rFonts w:ascii="Times New Roman" w:hAnsi="Times New Roman"/>
                <w:b/>
                <w:bCs/>
                <w:sz w:val="22"/>
                <w:szCs w:val="22"/>
              </w:rPr>
            </w:pPr>
            <w:r>
              <w:rPr>
                <w:b/>
                <w:bCs/>
                <w:sz w:val="22"/>
                <w:szCs w:val="22"/>
              </w:rPr>
              <w:t>на услуги, предоставляемые  АО «Регистратор Интрако»</w:t>
            </w:r>
          </w:p>
          <w:p w14:paraId="7D6B7DB4">
            <w:pPr>
              <w:bidi w:val="0"/>
              <w:ind w:left="0" w:right="0" w:firstLine="0"/>
              <w:jc w:val="center"/>
              <w:rPr>
                <w:rFonts w:ascii="Times New Roman" w:hAnsi="Times New Roman"/>
              </w:rPr>
            </w:pPr>
            <w:r>
              <w:t xml:space="preserve">(Вступает в действие с  </w:t>
            </w:r>
            <w:r>
              <w:rPr>
                <w:rFonts w:hint="default"/>
                <w:lang w:val="en-US"/>
              </w:rPr>
              <w:t>1</w:t>
            </w:r>
            <w:r>
              <w:rPr>
                <w:rFonts w:hint="default"/>
                <w:lang w:val="ru-RU"/>
              </w:rPr>
              <w:t>2</w:t>
            </w:r>
            <w:r>
              <w:t xml:space="preserve"> </w:t>
            </w:r>
            <w:r>
              <w:rPr>
                <w:rFonts w:hint="default"/>
                <w:lang w:val="ru-RU"/>
              </w:rPr>
              <w:t>августа</w:t>
            </w:r>
            <w:r>
              <w:t xml:space="preserve"> 2025 года)</w:t>
            </w:r>
          </w:p>
          <w:p w14:paraId="5D6F5B02">
            <w:pPr>
              <w:bidi w:val="0"/>
              <w:ind w:left="0" w:right="0" w:firstLine="0"/>
              <w:jc w:val="center"/>
              <w:rPr>
                <w:rFonts w:ascii="Times New Roman" w:hAnsi="Times New Roman"/>
                <w:b/>
                <w:bCs/>
                <w:sz w:val="18"/>
                <w:szCs w:val="18"/>
              </w:rPr>
            </w:pPr>
          </w:p>
        </w:tc>
      </w:tr>
      <w:tr w14:paraId="29602EAC">
        <w:tblPrEx>
          <w:tblCellMar>
            <w:top w:w="0" w:type="dxa"/>
            <w:left w:w="70" w:type="dxa"/>
            <w:bottom w:w="0" w:type="dxa"/>
            <w:right w:w="70" w:type="dxa"/>
          </w:tblCellMar>
        </w:tblPrEx>
        <w:tc>
          <w:tcPr>
            <w:tcW w:w="645" w:type="dxa"/>
            <w:tcBorders>
              <w:top w:val="double" w:color="000000" w:sz="6" w:space="0"/>
              <w:left w:val="double" w:color="000000" w:sz="6" w:space="0"/>
              <w:right w:val="double" w:color="000000" w:sz="6" w:space="0"/>
            </w:tcBorders>
            <w:tcMar>
              <w:left w:w="71" w:type="dxa"/>
              <w:right w:w="71" w:type="dxa"/>
            </w:tcMar>
          </w:tcPr>
          <w:p w14:paraId="258D80F8">
            <w:pPr>
              <w:bidi w:val="0"/>
              <w:ind w:left="0" w:right="0" w:firstLine="0"/>
              <w:jc w:val="center"/>
              <w:rPr>
                <w:rFonts w:hint="default" w:ascii="Times New Roman" w:hAnsi="Times New Roman"/>
                <w:b/>
                <w:bCs/>
                <w:lang w:val="ru-RU"/>
              </w:rPr>
            </w:pPr>
            <w:r>
              <w:rPr>
                <w:b/>
                <w:bCs/>
                <w:lang w:val="ru-RU"/>
              </w:rPr>
              <w:t>№</w:t>
            </w:r>
          </w:p>
        </w:tc>
        <w:tc>
          <w:tcPr>
            <w:tcW w:w="8066" w:type="dxa"/>
            <w:tcBorders>
              <w:top w:val="double" w:color="000000" w:sz="6" w:space="0"/>
              <w:left w:val="double" w:color="000000" w:sz="6" w:space="0"/>
              <w:right w:val="double" w:color="000000" w:sz="6" w:space="0"/>
            </w:tcBorders>
            <w:tcMar>
              <w:left w:w="71" w:type="dxa"/>
              <w:right w:w="71" w:type="dxa"/>
            </w:tcMar>
          </w:tcPr>
          <w:p w14:paraId="1F84978A">
            <w:pPr>
              <w:bidi w:val="0"/>
              <w:ind w:left="0" w:right="0" w:firstLine="0"/>
              <w:jc w:val="center"/>
            </w:pPr>
            <w:r>
              <w:rPr>
                <w:b/>
                <w:bCs/>
              </w:rPr>
              <w:t>Наименование услуги</w:t>
            </w:r>
          </w:p>
        </w:tc>
        <w:tc>
          <w:tcPr>
            <w:tcW w:w="1566" w:type="dxa"/>
            <w:tcBorders>
              <w:top w:val="double" w:color="000000" w:sz="6" w:space="0"/>
              <w:left w:val="double" w:color="000000" w:sz="6" w:space="0"/>
              <w:right w:val="double" w:color="000000" w:sz="6" w:space="0"/>
            </w:tcBorders>
            <w:tcMar>
              <w:left w:w="71" w:type="dxa"/>
              <w:right w:w="71" w:type="dxa"/>
            </w:tcMar>
            <w:vAlign w:val="bottom"/>
          </w:tcPr>
          <w:p w14:paraId="37880943">
            <w:pPr>
              <w:bidi w:val="0"/>
              <w:ind w:left="0" w:right="0" w:firstLine="0"/>
              <w:jc w:val="center"/>
              <w:rPr>
                <w:rFonts w:ascii="Times New Roman" w:hAnsi="Times New Roman"/>
                <w:b/>
                <w:bCs/>
                <w:vertAlign w:val="superscript"/>
              </w:rPr>
            </w:pPr>
            <w:r>
              <w:rPr>
                <w:b/>
                <w:bCs/>
              </w:rPr>
              <w:t>Стоимость</w:t>
            </w:r>
            <w:r>
              <w:rPr>
                <w:rStyle w:val="5"/>
                <w:b/>
                <w:bCs/>
              </w:rPr>
              <w:endnoteReference w:id="0"/>
            </w:r>
            <w:r>
              <w:rPr>
                <w:b/>
                <w:bCs/>
              </w:rPr>
              <w:t xml:space="preserve"> </w:t>
            </w:r>
          </w:p>
          <w:p w14:paraId="26685911">
            <w:pPr>
              <w:bidi w:val="0"/>
              <w:ind w:left="0" w:right="0" w:firstLine="0"/>
              <w:jc w:val="center"/>
            </w:pPr>
            <w:r>
              <w:rPr>
                <w:b/>
                <w:bCs/>
              </w:rPr>
              <w:t>(руб.)</w:t>
            </w:r>
          </w:p>
        </w:tc>
      </w:tr>
      <w:tr w14:paraId="7A17F3A0">
        <w:tblPrEx>
          <w:tblCellMar>
            <w:top w:w="0" w:type="dxa"/>
            <w:left w:w="70" w:type="dxa"/>
            <w:bottom w:w="0" w:type="dxa"/>
            <w:right w:w="70" w:type="dxa"/>
          </w:tblCellMar>
        </w:tblPrEx>
        <w:tc>
          <w:tcPr>
            <w:tcW w:w="10277" w:type="dxa"/>
            <w:gridSpan w:val="3"/>
            <w:tcBorders>
              <w:top w:val="double" w:color="000000" w:sz="6" w:space="0"/>
              <w:left w:val="double" w:color="000000" w:sz="6" w:space="0"/>
              <w:right w:val="double" w:color="000000" w:sz="6" w:space="0"/>
            </w:tcBorders>
            <w:tcMar>
              <w:left w:w="71" w:type="dxa"/>
              <w:right w:w="71" w:type="dxa"/>
            </w:tcMar>
          </w:tcPr>
          <w:p w14:paraId="3664FE7C">
            <w:pPr>
              <w:bidi w:val="0"/>
              <w:ind w:left="0" w:right="0" w:firstLine="0"/>
              <w:jc w:val="center"/>
              <w:rPr>
                <w:rFonts w:hint="default"/>
                <w:b/>
                <w:bCs/>
                <w:lang w:val="ru-RU"/>
              </w:rPr>
            </w:pPr>
            <w:r>
              <w:rPr>
                <w:b/>
                <w:bCs/>
                <w:lang w:val="ru-RU"/>
              </w:rPr>
              <w:t>Внесение</w:t>
            </w:r>
            <w:r>
              <w:rPr>
                <w:rFonts w:hint="default"/>
                <w:b/>
                <w:bCs/>
                <w:lang w:val="ru-RU"/>
              </w:rPr>
              <w:t xml:space="preserve"> записей в реестр</w:t>
            </w:r>
          </w:p>
        </w:tc>
      </w:tr>
      <w:tr w14:paraId="1878C713">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51F51F0">
            <w:pPr>
              <w:bidi w:val="0"/>
              <w:ind w:left="0" w:right="0" w:firstLine="0"/>
              <w:jc w:val="right"/>
            </w:pPr>
            <w:r>
              <w:rPr>
                <w:b/>
                <w:bCs/>
              </w:rPr>
              <w:t>1.</w:t>
            </w:r>
          </w:p>
        </w:tc>
        <w:tc>
          <w:tcPr>
            <w:tcW w:w="8066" w:type="dxa"/>
            <w:tcBorders>
              <w:top w:val="double" w:color="000000" w:sz="6" w:space="0"/>
              <w:left w:val="single" w:color="000000" w:sz="6" w:space="0"/>
              <w:right w:val="single" w:color="000000" w:sz="6" w:space="0"/>
            </w:tcBorders>
            <w:tcMar>
              <w:left w:w="71" w:type="dxa"/>
              <w:right w:w="71" w:type="dxa"/>
            </w:tcMar>
          </w:tcPr>
          <w:p w14:paraId="63B1CAB4">
            <w:pPr>
              <w:bidi w:val="0"/>
              <w:ind w:left="0" w:right="0" w:firstLine="0"/>
              <w:rPr>
                <w:rFonts w:ascii="Times New Roman" w:hAnsi="Times New Roman"/>
                <w:b/>
                <w:bCs/>
              </w:rPr>
            </w:pPr>
            <w:r>
              <w:rPr>
                <w:b/>
                <w:bCs/>
              </w:rPr>
              <w:t>Открытие лицевого счета:</w:t>
            </w:r>
          </w:p>
          <w:p w14:paraId="20812389">
            <w:pPr>
              <w:bidi w:val="0"/>
              <w:ind w:left="0" w:right="0" w:firstLine="0"/>
              <w:rPr>
                <w:rFonts w:hint="default" w:ascii="Times New Roman" w:hAnsi="Times New Roman"/>
                <w:bCs/>
                <w:lang w:val="ru-RU"/>
              </w:rPr>
            </w:pPr>
            <w:r>
              <w:rPr>
                <w:bCs/>
              </w:rPr>
              <w:t>Физическо</w:t>
            </w:r>
            <w:r>
              <w:rPr>
                <w:bCs/>
                <w:lang w:val="ru-RU"/>
              </w:rPr>
              <w:t>е</w:t>
            </w:r>
            <w:r>
              <w:rPr>
                <w:bCs/>
              </w:rPr>
              <w:t xml:space="preserve"> лиц</w:t>
            </w:r>
            <w:r>
              <w:rPr>
                <w:bCs/>
                <w:lang w:val="ru-RU"/>
              </w:rPr>
              <w:t>о</w:t>
            </w:r>
          </w:p>
          <w:p w14:paraId="44F0E74A">
            <w:pPr>
              <w:bidi w:val="0"/>
              <w:ind w:left="0" w:right="0" w:firstLine="0"/>
              <w:rPr>
                <w:rFonts w:hint="default"/>
                <w:bCs/>
                <w:lang w:val="ru-RU"/>
              </w:rPr>
            </w:pPr>
            <w:r>
              <w:rPr>
                <w:bCs/>
              </w:rPr>
              <w:t>Юридическо</w:t>
            </w:r>
            <w:r>
              <w:rPr>
                <w:bCs/>
                <w:lang w:val="ru-RU"/>
              </w:rPr>
              <w:t>е</w:t>
            </w:r>
            <w:r>
              <w:rPr>
                <w:bCs/>
              </w:rPr>
              <w:t xml:space="preserve"> лиц</w:t>
            </w:r>
            <w:r>
              <w:rPr>
                <w:bCs/>
                <w:lang w:val="ru-RU"/>
              </w:rPr>
              <w:t>о</w:t>
            </w:r>
          </w:p>
          <w:p w14:paraId="5EE9892B">
            <w:pPr>
              <w:bidi w:val="0"/>
              <w:ind w:left="0" w:right="0" w:firstLine="0"/>
              <w:rPr>
                <w:rFonts w:hint="default"/>
                <w:bCs/>
                <w:lang w:val="ru-RU"/>
              </w:rPr>
            </w:pPr>
            <w:r>
              <w:rPr>
                <w:bCs/>
                <w:lang w:val="ru-RU"/>
              </w:rPr>
              <w:t>Номинальный</w:t>
            </w:r>
            <w:r>
              <w:rPr>
                <w:rFonts w:hint="default"/>
                <w:bCs/>
                <w:lang w:val="ru-RU"/>
              </w:rPr>
              <w:t xml:space="preserve"> держатель центральный депозитарий</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02EDD293">
            <w:pPr>
              <w:bidi w:val="0"/>
              <w:ind w:left="0" w:right="0" w:firstLine="0"/>
              <w:jc w:val="right"/>
              <w:rPr>
                <w:rFonts w:hint="default" w:ascii="Times New Roman" w:hAnsi="Times New Roman"/>
                <w:lang w:val="ru-RU"/>
              </w:rPr>
            </w:pPr>
            <w:r>
              <w:rPr>
                <w:rFonts w:hint="default"/>
                <w:lang w:val="ru-RU"/>
              </w:rPr>
              <w:t>175</w:t>
            </w:r>
          </w:p>
          <w:p w14:paraId="071E927A">
            <w:pPr>
              <w:bidi w:val="0"/>
              <w:ind w:left="0" w:right="0" w:firstLine="0"/>
              <w:jc w:val="right"/>
            </w:pPr>
            <w:r>
              <w:rPr>
                <w:rFonts w:hint="default"/>
                <w:lang w:val="ru-RU"/>
              </w:rPr>
              <w:t>84</w:t>
            </w:r>
            <w:r>
              <w:t>0</w:t>
            </w:r>
          </w:p>
          <w:p w14:paraId="5EDBAA4F">
            <w:pPr>
              <w:bidi w:val="0"/>
              <w:ind w:left="0" w:right="0" w:firstLine="0"/>
              <w:jc w:val="right"/>
              <w:rPr>
                <w:rFonts w:hint="default"/>
                <w:lang w:val="ru-RU"/>
              </w:rPr>
            </w:pPr>
            <w:r>
              <w:rPr>
                <w:rFonts w:hint="default"/>
                <w:lang w:val="ru-RU"/>
              </w:rPr>
              <w:t>420</w:t>
            </w:r>
          </w:p>
        </w:tc>
      </w:tr>
      <w:tr w14:paraId="4C13E9E3">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1D685003">
            <w:pPr>
              <w:bidi w:val="0"/>
              <w:ind w:left="0" w:right="0" w:firstLine="0"/>
              <w:jc w:val="right"/>
              <w:rPr>
                <w:rFonts w:hint="default"/>
                <w:b/>
                <w:bCs/>
                <w:lang w:val="ru-RU"/>
              </w:rPr>
            </w:pPr>
            <w:r>
              <w:rPr>
                <w:rFonts w:hint="default"/>
                <w:b/>
                <w:bCs/>
                <w:lang w:val="ru-RU"/>
              </w:rPr>
              <w:t>2.</w:t>
            </w:r>
          </w:p>
        </w:tc>
        <w:tc>
          <w:tcPr>
            <w:tcW w:w="8066" w:type="dxa"/>
            <w:tcBorders>
              <w:top w:val="double" w:color="000000" w:sz="6" w:space="0"/>
              <w:left w:val="single" w:color="000000" w:sz="6" w:space="0"/>
              <w:right w:val="single" w:color="000000" w:sz="6" w:space="0"/>
            </w:tcBorders>
            <w:tcMar>
              <w:left w:w="71" w:type="dxa"/>
              <w:right w:w="71" w:type="dxa"/>
            </w:tcMar>
          </w:tcPr>
          <w:p w14:paraId="3A04DD06">
            <w:pPr>
              <w:bidi w:val="0"/>
              <w:ind w:left="0" w:right="0" w:firstLine="0"/>
              <w:rPr>
                <w:rFonts w:ascii="Times New Roman" w:hAnsi="Times New Roman"/>
                <w:b/>
                <w:bCs/>
              </w:rPr>
            </w:pPr>
            <w:r>
              <w:rPr>
                <w:b/>
                <w:bCs/>
                <w:lang w:val="ru-RU"/>
              </w:rPr>
              <w:t>Закрытие</w:t>
            </w:r>
            <w:r>
              <w:rPr>
                <w:rFonts w:hint="default"/>
                <w:b/>
                <w:bCs/>
                <w:lang w:val="ru-RU"/>
              </w:rPr>
              <w:t xml:space="preserve"> </w:t>
            </w:r>
            <w:r>
              <w:rPr>
                <w:b/>
                <w:bCs/>
              </w:rPr>
              <w:t>лицевого счета:</w:t>
            </w:r>
          </w:p>
          <w:p w14:paraId="5F7FCB9A">
            <w:pPr>
              <w:bidi w:val="0"/>
              <w:ind w:left="0" w:right="0" w:firstLine="0"/>
              <w:rPr>
                <w:rFonts w:hint="default" w:ascii="Times New Roman" w:hAnsi="Times New Roman"/>
                <w:bCs/>
                <w:lang w:val="ru-RU"/>
              </w:rPr>
            </w:pPr>
            <w:r>
              <w:rPr>
                <w:bCs/>
              </w:rPr>
              <w:t>Физическо</w:t>
            </w:r>
            <w:r>
              <w:rPr>
                <w:bCs/>
                <w:lang w:val="ru-RU"/>
              </w:rPr>
              <w:t>е</w:t>
            </w:r>
            <w:r>
              <w:rPr>
                <w:bCs/>
              </w:rPr>
              <w:t xml:space="preserve"> лиц</w:t>
            </w:r>
            <w:r>
              <w:rPr>
                <w:bCs/>
                <w:lang w:val="ru-RU"/>
              </w:rPr>
              <w:t>о</w:t>
            </w:r>
          </w:p>
          <w:p w14:paraId="28586BF9">
            <w:pPr>
              <w:bidi w:val="0"/>
              <w:ind w:left="0" w:right="0" w:firstLine="0"/>
              <w:rPr>
                <w:bCs/>
                <w:lang w:val="ru-RU"/>
              </w:rPr>
            </w:pPr>
            <w:r>
              <w:rPr>
                <w:bCs/>
              </w:rPr>
              <w:t>Юридическо</w:t>
            </w:r>
            <w:r>
              <w:rPr>
                <w:bCs/>
                <w:lang w:val="ru-RU"/>
              </w:rPr>
              <w:t>е</w:t>
            </w:r>
            <w:r>
              <w:rPr>
                <w:bCs/>
              </w:rPr>
              <w:t xml:space="preserve"> лиц</w:t>
            </w:r>
            <w:r>
              <w:rPr>
                <w:bCs/>
                <w:lang w:val="ru-RU"/>
              </w:rPr>
              <w:t>о</w:t>
            </w:r>
          </w:p>
          <w:p w14:paraId="77159E94">
            <w:pPr>
              <w:bidi w:val="0"/>
              <w:ind w:left="0" w:right="0" w:firstLine="0"/>
              <w:rPr>
                <w:rFonts w:hint="default"/>
                <w:bCs/>
                <w:lang w:val="ru-RU"/>
              </w:rPr>
            </w:pPr>
            <w:r>
              <w:rPr>
                <w:bCs/>
                <w:lang w:val="ru-RU"/>
              </w:rPr>
              <w:t>Номинальный</w:t>
            </w:r>
            <w:r>
              <w:rPr>
                <w:rFonts w:hint="default"/>
                <w:bCs/>
                <w:lang w:val="ru-RU"/>
              </w:rPr>
              <w:t xml:space="preserve"> держатель центральный депозитарий</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01CDF6FE">
            <w:pPr>
              <w:bidi w:val="0"/>
              <w:ind w:left="0" w:right="0" w:firstLine="0"/>
              <w:jc w:val="right"/>
              <w:rPr>
                <w:rFonts w:hint="default"/>
                <w:lang w:val="ru-RU"/>
              </w:rPr>
            </w:pPr>
            <w:r>
              <w:rPr>
                <w:rFonts w:hint="default"/>
                <w:lang w:val="ru-RU"/>
              </w:rPr>
              <w:t>85</w:t>
            </w:r>
          </w:p>
          <w:p w14:paraId="326F718A">
            <w:pPr>
              <w:bidi w:val="0"/>
              <w:ind w:left="0" w:right="0" w:firstLine="0"/>
              <w:jc w:val="right"/>
              <w:rPr>
                <w:rFonts w:hint="default"/>
                <w:lang w:val="ru-RU"/>
              </w:rPr>
            </w:pPr>
            <w:r>
              <w:rPr>
                <w:rFonts w:hint="default"/>
                <w:lang w:val="ru-RU"/>
              </w:rPr>
              <w:t>420</w:t>
            </w:r>
          </w:p>
          <w:p w14:paraId="4FB67D83">
            <w:pPr>
              <w:bidi w:val="0"/>
              <w:ind w:left="0" w:right="0" w:firstLine="0"/>
              <w:jc w:val="right"/>
              <w:rPr>
                <w:rFonts w:hint="default"/>
                <w:lang w:val="ru-RU"/>
              </w:rPr>
            </w:pPr>
            <w:r>
              <w:rPr>
                <w:rFonts w:hint="default"/>
                <w:lang w:val="ru-RU"/>
              </w:rPr>
              <w:t>420</w:t>
            </w:r>
          </w:p>
        </w:tc>
      </w:tr>
      <w:tr w14:paraId="5358F1E3">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724D8460">
            <w:pPr>
              <w:bidi w:val="0"/>
              <w:ind w:left="0" w:right="0" w:firstLine="0"/>
              <w:jc w:val="right"/>
            </w:pPr>
            <w:r>
              <w:rPr>
                <w:rFonts w:hint="default"/>
                <w:b/>
                <w:bCs/>
                <w:lang w:val="ru-RU"/>
              </w:rPr>
              <w:t>3</w:t>
            </w:r>
            <w:r>
              <w:rPr>
                <w:b/>
                <w:bCs/>
              </w:rPr>
              <w:t>.</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31E18327">
            <w:pPr>
              <w:bidi w:val="0"/>
              <w:ind w:left="0" w:right="0" w:firstLine="0"/>
              <w:rPr>
                <w:rFonts w:ascii="Times New Roman" w:hAnsi="Times New Roman"/>
                <w:b/>
                <w:bCs/>
              </w:rPr>
            </w:pPr>
            <w:r>
              <w:rPr>
                <w:b/>
                <w:bCs/>
              </w:rPr>
              <w:t>Внесение изменений в информацию лицевого счета</w:t>
            </w:r>
            <w:r>
              <w:rPr>
                <w:rFonts w:hint="default"/>
                <w:b/>
                <w:bCs/>
                <w:lang w:val="ru-RU"/>
              </w:rPr>
              <w:t xml:space="preserve"> о зарегистрированном лице</w:t>
            </w:r>
            <w:r>
              <w:rPr>
                <w:b/>
                <w:bCs/>
              </w:rPr>
              <w:t>:</w:t>
            </w:r>
          </w:p>
          <w:p w14:paraId="1C149DE5">
            <w:pPr>
              <w:bidi w:val="0"/>
              <w:ind w:left="0" w:right="0" w:firstLine="0"/>
              <w:rPr>
                <w:rFonts w:ascii="Times New Roman" w:hAnsi="Times New Roman"/>
                <w:bCs/>
              </w:rPr>
            </w:pPr>
            <w:r>
              <w:rPr>
                <w:bCs/>
              </w:rPr>
              <w:t>Физическому лицу резиденту РФ</w:t>
            </w:r>
          </w:p>
          <w:p w14:paraId="116A1596">
            <w:pPr>
              <w:bidi w:val="0"/>
              <w:ind w:left="0" w:right="0" w:firstLine="0"/>
            </w:pPr>
            <w:r>
              <w:rPr>
                <w:bCs/>
              </w:rPr>
              <w:t>Физическому лицу нерезиденту РФ</w:t>
            </w:r>
          </w:p>
          <w:p w14:paraId="2E68E464">
            <w:pPr>
              <w:bidi w:val="0"/>
              <w:ind w:left="0" w:right="0" w:firstLine="0"/>
            </w:pPr>
            <w:r>
              <w:rPr>
                <w:bCs/>
              </w:rPr>
              <w:t>Юридическому лицу резиденту РФ</w:t>
            </w:r>
          </w:p>
          <w:p w14:paraId="54C88B92">
            <w:pPr>
              <w:bidi w:val="0"/>
              <w:ind w:left="0" w:right="0" w:firstLine="0"/>
            </w:pPr>
            <w:r>
              <w:rPr>
                <w:bCs/>
              </w:rPr>
              <w:t>Юридическому лицу нерезиденту РФ</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7B182338">
            <w:pPr>
              <w:bidi w:val="0"/>
              <w:ind w:left="0" w:right="0" w:firstLine="0"/>
              <w:jc w:val="right"/>
              <w:rPr>
                <w:rFonts w:ascii="Times New Roman" w:hAnsi="Times New Roman"/>
              </w:rPr>
            </w:pPr>
          </w:p>
          <w:p w14:paraId="499E555E">
            <w:pPr>
              <w:bidi w:val="0"/>
              <w:ind w:left="0" w:right="0" w:firstLine="0"/>
              <w:jc w:val="right"/>
              <w:rPr>
                <w:rFonts w:hint="default" w:ascii="Times New Roman" w:hAnsi="Times New Roman"/>
                <w:lang w:val="ru-RU"/>
              </w:rPr>
            </w:pPr>
            <w:r>
              <w:rPr>
                <w:rFonts w:hint="default"/>
                <w:lang w:val="ru-RU"/>
              </w:rPr>
              <w:t>200</w:t>
            </w:r>
          </w:p>
          <w:p w14:paraId="4565D533">
            <w:pPr>
              <w:bidi w:val="0"/>
              <w:ind w:left="0" w:right="0" w:firstLine="0"/>
              <w:jc w:val="right"/>
            </w:pPr>
            <w:r>
              <w:rPr>
                <w:rFonts w:hint="default"/>
                <w:lang w:val="ru-RU"/>
              </w:rPr>
              <w:t>5</w:t>
            </w:r>
            <w:r>
              <w:t>00</w:t>
            </w:r>
          </w:p>
          <w:p w14:paraId="456FE9E2">
            <w:pPr>
              <w:bidi w:val="0"/>
              <w:ind w:left="0" w:right="0" w:firstLine="0"/>
              <w:jc w:val="right"/>
            </w:pPr>
            <w:r>
              <w:rPr>
                <w:rFonts w:hint="default"/>
                <w:lang w:val="ru-RU"/>
              </w:rPr>
              <w:t>150</w:t>
            </w:r>
            <w:r>
              <w:t>0</w:t>
            </w:r>
          </w:p>
          <w:p w14:paraId="540EA2E5">
            <w:pPr>
              <w:bidi w:val="0"/>
              <w:ind w:left="0" w:right="0" w:firstLine="0"/>
              <w:jc w:val="right"/>
            </w:pPr>
            <w:r>
              <w:rPr>
                <w:rFonts w:hint="default"/>
                <w:lang w:val="ru-RU"/>
              </w:rPr>
              <w:t>3</w:t>
            </w:r>
            <w:r>
              <w:t>000</w:t>
            </w:r>
          </w:p>
        </w:tc>
      </w:tr>
      <w:tr w14:paraId="73CD5D96">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2A2B5CFE">
            <w:pPr>
              <w:bidi w:val="0"/>
              <w:ind w:left="0" w:right="0" w:firstLine="0"/>
              <w:jc w:val="right"/>
              <w:rPr>
                <w:rFonts w:hint="default"/>
                <w:b/>
                <w:bCs/>
                <w:lang w:val="ru-RU"/>
              </w:rPr>
            </w:pPr>
            <w:r>
              <w:rPr>
                <w:rFonts w:hint="default"/>
                <w:b/>
                <w:bCs/>
                <w:lang w:val="ru-RU"/>
              </w:rPr>
              <w:t>4.</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B0A1120">
            <w:pPr>
              <w:bidi w:val="0"/>
              <w:ind w:left="0" w:right="0" w:firstLine="0"/>
              <w:rPr>
                <w:rFonts w:hint="default"/>
                <w:bCs/>
                <w:lang w:val="ru-RU"/>
              </w:rPr>
            </w:pPr>
            <w:r>
              <w:rPr>
                <w:b/>
                <w:bCs/>
                <w:lang w:val="ru-RU"/>
              </w:rPr>
              <w:t>И</w:t>
            </w:r>
            <w:r>
              <w:rPr>
                <w:b/>
                <w:bCs/>
              </w:rPr>
              <w:t>зменени</w:t>
            </w:r>
            <w:r>
              <w:rPr>
                <w:b/>
                <w:bCs/>
                <w:lang w:val="ru-RU"/>
              </w:rPr>
              <w:t>е</w:t>
            </w:r>
            <w:r>
              <w:rPr>
                <w:b/>
                <w:bCs/>
              </w:rPr>
              <w:t xml:space="preserve"> лицевого счета</w:t>
            </w:r>
            <w:r>
              <w:rPr>
                <w:rFonts w:hint="default"/>
                <w:b/>
                <w:bCs/>
                <w:lang w:val="ru-RU"/>
              </w:rPr>
              <w:t xml:space="preserve"> номинального держателя </w:t>
            </w:r>
            <w:r>
              <w:rPr>
                <w:rFonts w:hint="default"/>
                <w:b w:val="0"/>
                <w:bCs w:val="0"/>
                <w:lang w:val="ru-RU"/>
              </w:rPr>
              <w:t>на лицевой счет номинального держателя центрального депозитария, либо лицевого счета номинального держателя центрального депозитария на  лицевой счет номинального держателя</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00DD602E">
            <w:pPr>
              <w:bidi w:val="0"/>
              <w:ind w:left="0" w:right="0" w:firstLine="0"/>
              <w:jc w:val="right"/>
              <w:rPr>
                <w:rFonts w:hint="default"/>
                <w:lang w:val="ru-RU"/>
              </w:rPr>
            </w:pPr>
            <w:r>
              <w:rPr>
                <w:rFonts w:hint="default"/>
                <w:lang w:val="ru-RU"/>
              </w:rPr>
              <w:t>420</w:t>
            </w:r>
          </w:p>
        </w:tc>
      </w:tr>
      <w:tr w14:paraId="5C4C6E10">
        <w:tblPrEx>
          <w:tblCellMar>
            <w:top w:w="0" w:type="dxa"/>
            <w:left w:w="70" w:type="dxa"/>
            <w:bottom w:w="0" w:type="dxa"/>
            <w:right w:w="70" w:type="dxa"/>
          </w:tblCellMar>
        </w:tblPrEx>
        <w:tc>
          <w:tcPr>
            <w:tcW w:w="645" w:type="dxa"/>
            <w:tcBorders>
              <w:top w:val="double" w:color="000000" w:sz="2" w:space="0"/>
              <w:left w:val="double" w:color="000000" w:sz="2" w:space="0"/>
              <w:bottom w:val="single" w:color="000000" w:sz="6" w:space="0"/>
              <w:right w:val="single" w:color="000000" w:sz="6" w:space="0"/>
            </w:tcBorders>
            <w:tcMar>
              <w:left w:w="71" w:type="dxa"/>
              <w:right w:w="71" w:type="dxa"/>
            </w:tcMar>
          </w:tcPr>
          <w:p w14:paraId="05581C6D">
            <w:pPr>
              <w:bidi w:val="0"/>
              <w:ind w:left="0" w:right="0" w:firstLine="0"/>
              <w:jc w:val="right"/>
            </w:pPr>
            <w:r>
              <w:rPr>
                <w:rFonts w:hint="default"/>
                <w:b/>
                <w:bCs/>
                <w:lang w:val="ru-RU"/>
              </w:rPr>
              <w:t>5</w:t>
            </w:r>
            <w:r>
              <w:rPr>
                <w:b/>
                <w:bCs/>
              </w:rPr>
              <w:t>.</w:t>
            </w:r>
          </w:p>
        </w:tc>
        <w:tc>
          <w:tcPr>
            <w:tcW w:w="8066" w:type="dxa"/>
            <w:tcBorders>
              <w:top w:val="double" w:color="000000" w:sz="2" w:space="0"/>
              <w:left w:val="single" w:color="000000" w:sz="6" w:space="0"/>
              <w:bottom w:val="single" w:color="000000" w:sz="6" w:space="0"/>
              <w:right w:val="single" w:color="000000" w:sz="6" w:space="0"/>
            </w:tcBorders>
            <w:tcMar>
              <w:left w:w="71" w:type="dxa"/>
              <w:right w:w="71" w:type="dxa"/>
            </w:tcMar>
          </w:tcPr>
          <w:p w14:paraId="04275761">
            <w:pPr>
              <w:bidi w:val="0"/>
              <w:ind w:left="0" w:right="0" w:firstLine="0"/>
              <w:jc w:val="both"/>
              <w:rPr>
                <w:rFonts w:ascii="Times New Roman" w:hAnsi="Times New Roman"/>
                <w:b/>
                <w:bCs/>
                <w:vertAlign w:val="superscript"/>
              </w:rPr>
            </w:pPr>
            <w:r>
              <w:rPr>
                <w:b/>
                <w:bCs/>
              </w:rPr>
              <w:t xml:space="preserve"> За внесение записей о списании ценных бумаг с лицевого счета зарегистрированного лица и зачислении ценных бумаг на лицевой счет другого зарегистрированного лица </w:t>
            </w:r>
            <w:r>
              <w:rPr>
                <w:bCs/>
              </w:rPr>
              <w:t xml:space="preserve">(за исключением случаев, предусмотренных </w:t>
            </w:r>
            <w:r>
              <w:rPr>
                <w:bCs/>
                <w:lang w:val="ru-RU"/>
              </w:rPr>
              <w:t>пунктами</w:t>
            </w:r>
            <w:r>
              <w:rPr>
                <w:rFonts w:hint="default"/>
                <w:bCs/>
                <w:lang w:val="ru-RU"/>
              </w:rPr>
              <w:t xml:space="preserve"> 6,7,8 </w:t>
            </w:r>
            <w:r>
              <w:rPr>
                <w:bCs/>
              </w:rPr>
              <w:t xml:space="preserve">Прейскуранта), </w:t>
            </w:r>
            <w:r>
              <w:t>в совокупности за обе операции</w:t>
            </w:r>
            <w:r>
              <w:rPr>
                <w:rFonts w:hint="default"/>
                <w:lang w:val="ru-RU"/>
              </w:rPr>
              <w:t xml:space="preserve"> (за одно распоряжение)</w:t>
            </w:r>
            <w:r>
              <w:t xml:space="preserve"> при стоимости ценных бумаг</w:t>
            </w:r>
            <w:r>
              <w:rPr>
                <w:rStyle w:val="5"/>
              </w:rPr>
              <w:endnoteReference w:id="1"/>
            </w:r>
            <w:r>
              <w:t>:</w:t>
            </w:r>
          </w:p>
        </w:tc>
        <w:tc>
          <w:tcPr>
            <w:tcW w:w="1566" w:type="dxa"/>
            <w:tcBorders>
              <w:top w:val="double" w:color="000000" w:sz="2" w:space="0"/>
              <w:left w:val="single" w:color="000000" w:sz="6" w:space="0"/>
              <w:bottom w:val="single" w:color="000000" w:sz="6" w:space="0"/>
              <w:right w:val="double" w:color="000000" w:sz="2" w:space="0"/>
            </w:tcBorders>
            <w:tcMar>
              <w:left w:w="71" w:type="dxa"/>
              <w:right w:w="71" w:type="dxa"/>
            </w:tcMar>
            <w:vAlign w:val="bottom"/>
          </w:tcPr>
          <w:p w14:paraId="69E8B425">
            <w:pPr>
              <w:bidi w:val="0"/>
              <w:ind w:left="0" w:right="0" w:firstLine="0"/>
              <w:jc w:val="right"/>
              <w:rPr>
                <w:rFonts w:ascii="Times New Roman" w:hAnsi="Times New Roman"/>
              </w:rPr>
            </w:pPr>
          </w:p>
        </w:tc>
      </w:tr>
      <w:tr w14:paraId="0AB8FB67">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5EC71D91">
            <w:pPr>
              <w:bidi w:val="0"/>
              <w:ind w:left="0" w:right="0" w:firstLine="0"/>
              <w:jc w:val="right"/>
            </w:pPr>
            <w:r>
              <w:rPr>
                <w:rFonts w:hint="default"/>
                <w:b/>
                <w:lang w:val="ru-RU"/>
              </w:rPr>
              <w:t>5</w:t>
            </w:r>
            <w:r>
              <w:rPr>
                <w:b/>
              </w:rPr>
              <w:t>.1.</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0B49311F">
            <w:pPr>
              <w:bidi w:val="0"/>
              <w:ind w:left="0" w:right="0" w:firstLine="0"/>
            </w:pPr>
            <w:r>
              <w:rPr>
                <w:b/>
                <w:bCs/>
              </w:rPr>
              <w:t>не более 3 000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6A7F61F1">
            <w:pPr>
              <w:bidi w:val="0"/>
              <w:ind w:left="0" w:right="0" w:firstLine="0"/>
              <w:jc w:val="right"/>
            </w:pPr>
            <w:r>
              <w:t>300</w:t>
            </w:r>
          </w:p>
        </w:tc>
      </w:tr>
      <w:tr w14:paraId="5A6D6817">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17F38B27">
            <w:pPr>
              <w:bidi w:val="0"/>
              <w:ind w:left="0" w:right="0" w:firstLine="0"/>
              <w:jc w:val="right"/>
              <w:rPr>
                <w:rFonts w:hint="default"/>
                <w:b/>
                <w:lang w:val="ru-RU"/>
              </w:rPr>
            </w:pPr>
            <w:r>
              <w:rPr>
                <w:rFonts w:hint="default"/>
                <w:b/>
                <w:lang w:val="ru-RU"/>
              </w:rPr>
              <w:t>5.2.</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7EE022DE">
            <w:pPr>
              <w:bidi w:val="0"/>
              <w:ind w:left="0" w:right="0" w:firstLine="0"/>
              <w:rPr>
                <w:rFonts w:hint="default"/>
                <w:b/>
                <w:bCs/>
                <w:lang w:val="ru-RU"/>
              </w:rPr>
            </w:pPr>
            <w:r>
              <w:rPr>
                <w:rFonts w:hint="default"/>
                <w:b/>
                <w:bCs/>
                <w:lang w:val="ru-RU"/>
              </w:rPr>
              <w:t>более 3 000 руб., но не более 10 000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270CEB9E">
            <w:pPr>
              <w:bidi w:val="0"/>
              <w:ind w:left="0" w:right="0" w:firstLine="0"/>
              <w:jc w:val="right"/>
              <w:rPr>
                <w:rFonts w:hint="default"/>
                <w:lang w:val="ru-RU"/>
              </w:rPr>
            </w:pPr>
            <w:r>
              <w:rPr>
                <w:rFonts w:hint="default"/>
                <w:lang w:val="ru-RU"/>
              </w:rPr>
              <w:t>600</w:t>
            </w:r>
          </w:p>
        </w:tc>
      </w:tr>
      <w:tr w14:paraId="7072B0CC">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6516E9DE">
            <w:pPr>
              <w:bidi w:val="0"/>
              <w:ind w:left="0" w:right="0" w:firstLine="0"/>
              <w:jc w:val="right"/>
              <w:rPr>
                <w:rFonts w:hint="default"/>
                <w:b/>
                <w:lang w:val="ru-RU"/>
              </w:rPr>
            </w:pPr>
            <w:r>
              <w:rPr>
                <w:rFonts w:hint="default"/>
                <w:b/>
                <w:lang w:val="ru-RU"/>
              </w:rPr>
              <w:t>5.3.</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61F5F04B">
            <w:pPr>
              <w:bidi w:val="0"/>
              <w:ind w:left="0" w:right="0" w:firstLine="0"/>
              <w:rPr>
                <w:rFonts w:hint="default"/>
                <w:b/>
                <w:bCs/>
                <w:lang w:val="ru-RU"/>
              </w:rPr>
            </w:pPr>
            <w:r>
              <w:rPr>
                <w:rFonts w:hint="default"/>
                <w:b/>
                <w:bCs/>
                <w:lang w:val="ru-RU"/>
              </w:rPr>
              <w:t>более 10 000 руб., но не более 20 000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62E0E38A">
            <w:pPr>
              <w:bidi w:val="0"/>
              <w:ind w:left="0" w:right="0" w:firstLine="0"/>
              <w:jc w:val="right"/>
              <w:rPr>
                <w:rFonts w:hint="default"/>
                <w:lang w:val="ru-RU"/>
              </w:rPr>
            </w:pPr>
            <w:r>
              <w:rPr>
                <w:rFonts w:hint="default"/>
                <w:lang w:val="ru-RU"/>
              </w:rPr>
              <w:t>1000</w:t>
            </w:r>
          </w:p>
        </w:tc>
      </w:tr>
      <w:tr w14:paraId="7D6472FC">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251E614C">
            <w:pPr>
              <w:bidi w:val="0"/>
              <w:ind w:left="0" w:right="0" w:firstLine="0"/>
              <w:jc w:val="right"/>
            </w:pPr>
            <w:r>
              <w:rPr>
                <w:rFonts w:hint="default"/>
                <w:b/>
                <w:lang w:val="ru-RU"/>
              </w:rPr>
              <w:t>5</w:t>
            </w:r>
            <w:r>
              <w:rPr>
                <w:b/>
              </w:rPr>
              <w:t>.</w:t>
            </w:r>
            <w:r>
              <w:rPr>
                <w:rFonts w:hint="default"/>
                <w:b/>
                <w:lang w:val="ru-RU"/>
              </w:rPr>
              <w:t>4</w:t>
            </w:r>
            <w:r>
              <w:rPr>
                <w:b/>
              </w:rPr>
              <w:t>.</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2F2729FB">
            <w:pPr>
              <w:bidi w:val="0"/>
              <w:ind w:left="0" w:right="0" w:firstLine="0"/>
            </w:pPr>
            <w:r>
              <w:rPr>
                <w:b/>
                <w:bCs/>
              </w:rPr>
              <w:t xml:space="preserve">более </w:t>
            </w:r>
            <w:r>
              <w:rPr>
                <w:rFonts w:hint="default"/>
                <w:b/>
                <w:bCs/>
                <w:lang w:val="ru-RU"/>
              </w:rPr>
              <w:t xml:space="preserve">20 </w:t>
            </w:r>
            <w:r>
              <w:rPr>
                <w:b/>
                <w:bCs/>
              </w:rPr>
              <w:t xml:space="preserve">000 руб., но не более </w:t>
            </w:r>
            <w:r>
              <w:rPr>
                <w:rFonts w:hint="default"/>
                <w:b/>
                <w:bCs/>
                <w:lang w:val="ru-RU"/>
              </w:rPr>
              <w:t xml:space="preserve">50 </w:t>
            </w:r>
            <w:r>
              <w:rPr>
                <w:b/>
                <w:bCs/>
              </w:rPr>
              <w:t>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5647FDEC">
            <w:pPr>
              <w:bidi w:val="0"/>
              <w:ind w:left="0" w:right="0" w:firstLine="0"/>
              <w:jc w:val="right"/>
            </w:pPr>
            <w:r>
              <w:rPr>
                <w:rFonts w:hint="default"/>
                <w:lang w:val="ru-RU"/>
              </w:rPr>
              <w:t>2</w:t>
            </w:r>
            <w:r>
              <w:t xml:space="preserve"> 000</w:t>
            </w:r>
          </w:p>
        </w:tc>
      </w:tr>
      <w:tr w14:paraId="022F6612">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54B95869">
            <w:pPr>
              <w:bidi w:val="0"/>
              <w:ind w:left="0" w:right="0" w:firstLine="0"/>
              <w:jc w:val="right"/>
              <w:rPr>
                <w:rFonts w:hint="default"/>
                <w:b/>
                <w:lang w:val="ru-RU"/>
              </w:rPr>
            </w:pPr>
            <w:r>
              <w:rPr>
                <w:rFonts w:hint="default"/>
                <w:b/>
                <w:lang w:val="ru-RU"/>
              </w:rPr>
              <w:t>5.5.</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0601268D">
            <w:pPr>
              <w:bidi w:val="0"/>
              <w:ind w:left="0" w:right="0" w:firstLine="0"/>
              <w:rPr>
                <w:rFonts w:hint="default"/>
                <w:b/>
                <w:bCs/>
                <w:lang w:val="ru-RU"/>
              </w:rPr>
            </w:pPr>
            <w:r>
              <w:rPr>
                <w:rFonts w:hint="default"/>
                <w:b/>
                <w:bCs/>
                <w:lang w:val="ru-RU"/>
              </w:rPr>
              <w:t>более 50 000 руб., но не более 600 000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713850C3">
            <w:pPr>
              <w:bidi w:val="0"/>
              <w:ind w:left="0" w:right="0" w:firstLine="0"/>
              <w:jc w:val="right"/>
              <w:rPr>
                <w:rFonts w:hint="default"/>
                <w:lang w:val="ru-RU"/>
              </w:rPr>
            </w:pPr>
            <w:r>
              <w:rPr>
                <w:rFonts w:hint="default"/>
                <w:lang w:val="ru-RU"/>
              </w:rPr>
              <w:t>3 000</w:t>
            </w:r>
          </w:p>
        </w:tc>
      </w:tr>
      <w:tr w14:paraId="20B51F10">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10AAD7A7">
            <w:pPr>
              <w:bidi w:val="0"/>
              <w:ind w:left="0" w:right="0" w:firstLine="0"/>
              <w:jc w:val="right"/>
            </w:pPr>
            <w:r>
              <w:rPr>
                <w:rFonts w:hint="default"/>
                <w:b/>
                <w:lang w:val="ru-RU"/>
              </w:rPr>
              <w:t>5</w:t>
            </w:r>
            <w:r>
              <w:rPr>
                <w:b/>
              </w:rPr>
              <w:t>.</w:t>
            </w:r>
            <w:r>
              <w:rPr>
                <w:rFonts w:hint="default"/>
                <w:b/>
                <w:lang w:val="ru-RU"/>
              </w:rPr>
              <w:t>6</w:t>
            </w:r>
            <w:r>
              <w:rPr>
                <w:b/>
              </w:rPr>
              <w:t>.</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4E6AC32E">
            <w:pPr>
              <w:bidi w:val="0"/>
              <w:ind w:left="0" w:right="0" w:firstLine="0"/>
            </w:pPr>
            <w:r>
              <w:rPr>
                <w:b/>
                <w:bCs/>
              </w:rPr>
              <w:t>более 600 000 руб., но не более 1 400 000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7DD2AF09">
            <w:pPr>
              <w:bidi w:val="0"/>
              <w:ind w:left="0" w:right="0" w:firstLine="0"/>
              <w:jc w:val="right"/>
            </w:pPr>
            <w:r>
              <w:t>7 000</w:t>
            </w:r>
          </w:p>
        </w:tc>
      </w:tr>
      <w:tr w14:paraId="63ACE3CC">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296F98CD">
            <w:pPr>
              <w:bidi w:val="0"/>
              <w:ind w:left="0" w:right="0" w:firstLine="0"/>
              <w:jc w:val="right"/>
            </w:pPr>
            <w:r>
              <w:rPr>
                <w:rFonts w:hint="default"/>
                <w:b/>
                <w:lang w:val="ru-RU"/>
              </w:rPr>
              <w:t>5</w:t>
            </w:r>
            <w:r>
              <w:rPr>
                <w:b/>
              </w:rPr>
              <w:t>.</w:t>
            </w:r>
            <w:r>
              <w:rPr>
                <w:rFonts w:hint="default"/>
                <w:b/>
                <w:lang w:val="ru-RU"/>
              </w:rPr>
              <w:t>7</w:t>
            </w:r>
            <w:r>
              <w:rPr>
                <w:b/>
              </w:rPr>
              <w:t>.</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1FDF9113">
            <w:pPr>
              <w:bidi w:val="0"/>
              <w:ind w:left="0" w:right="0" w:firstLine="0"/>
            </w:pPr>
            <w:r>
              <w:rPr>
                <w:b/>
                <w:bCs/>
              </w:rPr>
              <w:t>более 1 400 000 руб., но не более 10 000 000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09FAD6C9">
            <w:pPr>
              <w:bidi w:val="0"/>
              <w:ind w:left="0" w:right="0" w:firstLine="0"/>
              <w:jc w:val="right"/>
            </w:pPr>
            <w:r>
              <w:t>50 000</w:t>
            </w:r>
          </w:p>
        </w:tc>
      </w:tr>
      <w:tr w14:paraId="710CD157">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7C22C8E6">
            <w:pPr>
              <w:bidi w:val="0"/>
              <w:ind w:left="0" w:right="0" w:firstLine="0"/>
              <w:jc w:val="right"/>
            </w:pPr>
            <w:r>
              <w:rPr>
                <w:rFonts w:hint="default"/>
                <w:b/>
                <w:lang w:val="ru-RU"/>
              </w:rPr>
              <w:t>5</w:t>
            </w:r>
            <w:r>
              <w:rPr>
                <w:b/>
              </w:rPr>
              <w:t>.</w:t>
            </w:r>
            <w:r>
              <w:rPr>
                <w:rFonts w:hint="default"/>
                <w:b/>
                <w:lang w:val="ru-RU"/>
              </w:rPr>
              <w:t>8</w:t>
            </w:r>
            <w:r>
              <w:rPr>
                <w:b/>
              </w:rPr>
              <w:t>.</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01C91CED">
            <w:pPr>
              <w:bidi w:val="0"/>
              <w:ind w:left="0" w:right="0" w:firstLine="0"/>
            </w:pPr>
            <w:r>
              <w:rPr>
                <w:b/>
                <w:bCs/>
              </w:rPr>
              <w:t>более 10 000 000 руб., но не более 100 000 000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5B5F5713">
            <w:pPr>
              <w:bidi w:val="0"/>
              <w:ind w:left="0" w:right="0" w:firstLine="0"/>
              <w:jc w:val="right"/>
            </w:pPr>
            <w:r>
              <w:t>500 000</w:t>
            </w:r>
          </w:p>
        </w:tc>
      </w:tr>
      <w:tr w14:paraId="662117D9">
        <w:tblPrEx>
          <w:tblCellMar>
            <w:top w:w="0" w:type="dxa"/>
            <w:left w:w="70" w:type="dxa"/>
            <w:bottom w:w="0" w:type="dxa"/>
            <w:right w:w="70" w:type="dxa"/>
          </w:tblCellMar>
        </w:tblPrEx>
        <w:tc>
          <w:tcPr>
            <w:tcW w:w="645" w:type="dxa"/>
            <w:tcBorders>
              <w:top w:val="single" w:color="000000" w:sz="6" w:space="0"/>
              <w:left w:val="double" w:color="000000" w:sz="2" w:space="0"/>
              <w:bottom w:val="single" w:color="000000" w:sz="6" w:space="0"/>
              <w:right w:val="single" w:color="000000" w:sz="6" w:space="0"/>
            </w:tcBorders>
            <w:tcMar>
              <w:left w:w="71" w:type="dxa"/>
              <w:right w:w="71" w:type="dxa"/>
            </w:tcMar>
          </w:tcPr>
          <w:p w14:paraId="76230F42">
            <w:pPr>
              <w:bidi w:val="0"/>
              <w:ind w:left="0" w:right="0" w:firstLine="0"/>
              <w:jc w:val="right"/>
            </w:pPr>
            <w:r>
              <w:rPr>
                <w:rFonts w:hint="default"/>
                <w:b/>
                <w:bCs/>
                <w:lang w:val="ru-RU"/>
              </w:rPr>
              <w:t>5</w:t>
            </w:r>
            <w:r>
              <w:rPr>
                <w:b/>
                <w:bCs/>
              </w:rPr>
              <w:t>.</w:t>
            </w:r>
            <w:r>
              <w:rPr>
                <w:rFonts w:hint="default"/>
                <w:b/>
                <w:bCs/>
                <w:lang w:val="ru-RU"/>
              </w:rPr>
              <w:t>9</w:t>
            </w:r>
            <w:r>
              <w:rPr>
                <w:b/>
                <w:bCs/>
              </w:rPr>
              <w:t>.</w:t>
            </w:r>
          </w:p>
        </w:tc>
        <w:tc>
          <w:tcPr>
            <w:tcW w:w="8066" w:type="dxa"/>
            <w:tcBorders>
              <w:top w:val="single" w:color="000000" w:sz="6" w:space="0"/>
              <w:left w:val="single" w:color="000000" w:sz="6" w:space="0"/>
              <w:bottom w:val="single" w:color="000000" w:sz="6" w:space="0"/>
              <w:right w:val="single" w:color="000000" w:sz="6" w:space="0"/>
            </w:tcBorders>
            <w:tcMar>
              <w:left w:w="71" w:type="dxa"/>
              <w:right w:w="71" w:type="dxa"/>
            </w:tcMar>
          </w:tcPr>
          <w:p w14:paraId="329702E1">
            <w:pPr>
              <w:bidi w:val="0"/>
              <w:ind w:left="0" w:right="0" w:firstLine="0"/>
            </w:pPr>
            <w:r>
              <w:rPr>
                <w:b/>
                <w:bCs/>
              </w:rPr>
              <w:t>более 100 000 000 руб.</w:t>
            </w:r>
          </w:p>
        </w:tc>
        <w:tc>
          <w:tcPr>
            <w:tcW w:w="1566" w:type="dxa"/>
            <w:tcBorders>
              <w:top w:val="single" w:color="000000" w:sz="6" w:space="0"/>
              <w:left w:val="single" w:color="000000" w:sz="6" w:space="0"/>
              <w:bottom w:val="single" w:color="000000" w:sz="6" w:space="0"/>
              <w:right w:val="double" w:color="000000" w:sz="2" w:space="0"/>
            </w:tcBorders>
            <w:tcMar>
              <w:left w:w="71" w:type="dxa"/>
              <w:right w:w="71" w:type="dxa"/>
            </w:tcMar>
            <w:vAlign w:val="bottom"/>
          </w:tcPr>
          <w:p w14:paraId="5696D85C">
            <w:pPr>
              <w:bidi w:val="0"/>
              <w:ind w:left="0" w:right="0" w:firstLine="0"/>
              <w:jc w:val="right"/>
            </w:pPr>
            <w:r>
              <w:t>1 500 000</w:t>
            </w:r>
          </w:p>
        </w:tc>
      </w:tr>
      <w:tr w14:paraId="4A26F824">
        <w:tblPrEx>
          <w:tblCellMar>
            <w:top w:w="0" w:type="dxa"/>
            <w:left w:w="70" w:type="dxa"/>
            <w:bottom w:w="0" w:type="dxa"/>
            <w:right w:w="70" w:type="dxa"/>
          </w:tblCellMar>
        </w:tblPrEx>
        <w:trPr>
          <w:trHeight w:val="2360" w:hRule="atLeast"/>
        </w:trPr>
        <w:tc>
          <w:tcPr>
            <w:tcW w:w="645" w:type="dxa"/>
            <w:tcBorders>
              <w:left w:val="double" w:color="000000" w:sz="6" w:space="0"/>
              <w:bottom w:val="double" w:color="000000" w:sz="6" w:space="0"/>
              <w:right w:val="single" w:color="000000" w:sz="6" w:space="0"/>
            </w:tcBorders>
            <w:tcMar>
              <w:left w:w="71" w:type="dxa"/>
              <w:right w:w="71" w:type="dxa"/>
            </w:tcMar>
          </w:tcPr>
          <w:p w14:paraId="680D2357">
            <w:pPr>
              <w:bidi w:val="0"/>
              <w:ind w:left="0" w:right="0" w:firstLine="0"/>
              <w:jc w:val="right"/>
            </w:pPr>
            <w:r>
              <w:rPr>
                <w:rFonts w:hint="default"/>
                <w:b/>
                <w:bCs/>
                <w:lang w:val="ru-RU"/>
              </w:rPr>
              <w:t>6</w:t>
            </w:r>
            <w:r>
              <w:rPr>
                <w:b/>
                <w:bCs/>
              </w:rPr>
              <w:t>.</w:t>
            </w:r>
          </w:p>
        </w:tc>
        <w:tc>
          <w:tcPr>
            <w:tcW w:w="8066" w:type="dxa"/>
            <w:tcBorders>
              <w:left w:val="single" w:color="000000" w:sz="6" w:space="0"/>
              <w:bottom w:val="double" w:color="000000" w:sz="6" w:space="0"/>
              <w:right w:val="single" w:color="000000" w:sz="6" w:space="0"/>
            </w:tcBorders>
            <w:tcMar>
              <w:left w:w="71" w:type="dxa"/>
              <w:right w:w="71" w:type="dxa"/>
            </w:tcMar>
          </w:tcPr>
          <w:p w14:paraId="68ABB48B">
            <w:pPr>
              <w:spacing w:beforeLines="0" w:afterLines="0"/>
              <w:jc w:val="both"/>
            </w:pPr>
            <w:r>
              <w:rPr>
                <w:rFonts w:hint="default" w:ascii="Times New Roman" w:hAnsi="Times New Roman" w:eastAsia="Times New Roman"/>
                <w:b/>
                <w:sz w:val="20"/>
                <w:szCs w:val="24"/>
              </w:rPr>
              <w:t xml:space="preserve">Списание ценных бумаг с лицевого счета номинального держателя, </w:t>
            </w:r>
            <w:r>
              <w:rPr>
                <w:rFonts w:hint="default" w:ascii="Times New Roman" w:hAnsi="Times New Roman" w:eastAsia="Times New Roman"/>
                <w:b w:val="0"/>
                <w:bCs/>
                <w:sz w:val="20"/>
                <w:szCs w:val="24"/>
              </w:rPr>
              <w:t xml:space="preserve">или лицевого счета номинального держателя центрального депозитария, или лицевого счета доверительного управляющего, или лицевого счета иностранного номинального держателя, или лицевого счета иностранного уполномоченного держателя, или лицевого счета иностранной организации, являющейся регистратором в соответствии с ее личным законом, </w:t>
            </w:r>
            <w:r>
              <w:rPr>
                <w:rFonts w:hint="default" w:ascii="Times New Roman" w:hAnsi="Times New Roman" w:eastAsia="Times New Roman"/>
                <w:b/>
                <w:bCs w:val="0"/>
                <w:sz w:val="20"/>
                <w:szCs w:val="24"/>
              </w:rPr>
              <w:t>и их зачисление</w:t>
            </w:r>
            <w:r>
              <w:rPr>
                <w:rFonts w:hint="default" w:ascii="Times New Roman" w:hAnsi="Times New Roman" w:eastAsia="Times New Roman"/>
                <w:b w:val="0"/>
                <w:bCs/>
                <w:sz w:val="20"/>
                <w:szCs w:val="24"/>
              </w:rPr>
              <w:t xml:space="preserve"> на лицевой счет владельца, или лицевой счет номинального держателя, или лицевой счет номинального держателя центрального депозитария, или лицевой счет доверительного управляющего, если проведение таких операций не связано с переходом прав на ценные бумаги</w:t>
            </w:r>
            <w:r>
              <w:rPr>
                <w:rFonts w:hint="default" w:ascii="Times New Roman" w:hAnsi="Times New Roman" w:eastAsia="Times New Roman"/>
                <w:b w:val="0"/>
                <w:bCs/>
                <w:sz w:val="20"/>
                <w:szCs w:val="24"/>
                <w:lang w:val="ru-RU"/>
              </w:rPr>
              <w:t xml:space="preserve">, </w:t>
            </w:r>
            <w:r>
              <w:rPr>
                <w:b w:val="0"/>
                <w:bCs/>
              </w:rPr>
              <w:t>в совокупности за обе операции</w:t>
            </w:r>
            <w:r>
              <w:rPr>
                <w:rFonts w:hint="default" w:ascii="Times New Roman" w:hAnsi="Times New Roman" w:eastAsia="Times New Roman"/>
                <w:b w:val="0"/>
                <w:bCs/>
                <w:sz w:val="20"/>
                <w:szCs w:val="24"/>
              </w:rPr>
              <w:t>.</w:t>
            </w:r>
          </w:p>
        </w:tc>
        <w:tc>
          <w:tcPr>
            <w:tcW w:w="1566" w:type="dxa"/>
            <w:tcBorders>
              <w:left w:val="single" w:color="000000" w:sz="6" w:space="0"/>
              <w:bottom w:val="double" w:color="000000" w:sz="6" w:space="0"/>
              <w:right w:val="double" w:color="000000" w:sz="6" w:space="0"/>
            </w:tcBorders>
            <w:tcMar>
              <w:left w:w="71" w:type="dxa"/>
              <w:right w:w="71" w:type="dxa"/>
            </w:tcMar>
            <w:vAlign w:val="bottom"/>
          </w:tcPr>
          <w:p w14:paraId="06F47D54">
            <w:pPr>
              <w:bidi w:val="0"/>
              <w:ind w:left="0" w:right="0" w:firstLine="0"/>
              <w:jc w:val="right"/>
            </w:pPr>
            <w:r>
              <w:rPr>
                <w:rFonts w:hint="default"/>
                <w:lang w:val="ru-RU"/>
              </w:rPr>
              <w:t>1</w:t>
            </w:r>
            <w:r>
              <w:t xml:space="preserve"> 000</w:t>
            </w:r>
          </w:p>
        </w:tc>
      </w:tr>
      <w:tr w14:paraId="5AF9697D">
        <w:tblPrEx>
          <w:tblCellMar>
            <w:top w:w="0" w:type="dxa"/>
            <w:left w:w="70" w:type="dxa"/>
            <w:bottom w:w="0" w:type="dxa"/>
            <w:right w:w="70" w:type="dxa"/>
          </w:tblCellMar>
        </w:tblPrEx>
        <w:trPr>
          <w:trHeight w:val="1886" w:hRule="atLeast"/>
        </w:trPr>
        <w:tc>
          <w:tcPr>
            <w:tcW w:w="645" w:type="dxa"/>
            <w:tcBorders>
              <w:left w:val="double" w:color="000000" w:sz="6" w:space="0"/>
              <w:bottom w:val="double" w:color="000000" w:sz="6" w:space="0"/>
              <w:right w:val="single" w:color="000000" w:sz="6" w:space="0"/>
            </w:tcBorders>
            <w:tcMar>
              <w:left w:w="71" w:type="dxa"/>
              <w:right w:w="71" w:type="dxa"/>
            </w:tcMar>
          </w:tcPr>
          <w:p w14:paraId="049810DD">
            <w:pPr>
              <w:bidi w:val="0"/>
              <w:ind w:left="0" w:right="0" w:firstLine="0"/>
              <w:jc w:val="right"/>
              <w:rPr>
                <w:rFonts w:hint="default"/>
                <w:b/>
                <w:bCs/>
                <w:lang w:val="ru-RU"/>
              </w:rPr>
            </w:pPr>
            <w:r>
              <w:rPr>
                <w:rFonts w:hint="default"/>
                <w:b/>
                <w:bCs/>
                <w:lang w:val="ru-RU"/>
              </w:rPr>
              <w:t>7.</w:t>
            </w:r>
          </w:p>
        </w:tc>
        <w:tc>
          <w:tcPr>
            <w:tcW w:w="8066" w:type="dxa"/>
            <w:tcBorders>
              <w:left w:val="single" w:color="000000" w:sz="6" w:space="0"/>
              <w:bottom w:val="double" w:color="000000" w:sz="6" w:space="0"/>
              <w:right w:val="single" w:color="000000" w:sz="6" w:space="0"/>
            </w:tcBorders>
            <w:tcMar>
              <w:left w:w="71" w:type="dxa"/>
              <w:right w:w="71" w:type="dxa"/>
            </w:tcMar>
          </w:tcPr>
          <w:p w14:paraId="7695A72F">
            <w:pPr>
              <w:spacing w:beforeLines="0" w:afterLines="0"/>
              <w:jc w:val="both"/>
              <w:rPr>
                <w:rFonts w:hint="default" w:ascii="Times New Roman" w:hAnsi="Times New Roman" w:eastAsia="Times New Roman"/>
                <w:b w:val="0"/>
                <w:bCs/>
                <w:sz w:val="20"/>
                <w:szCs w:val="24"/>
              </w:rPr>
            </w:pPr>
            <w:r>
              <w:rPr>
                <w:rFonts w:hint="default" w:ascii="Times New Roman" w:hAnsi="Times New Roman" w:eastAsia="Times New Roman"/>
                <w:b/>
                <w:sz w:val="20"/>
                <w:szCs w:val="24"/>
              </w:rPr>
              <w:t xml:space="preserve">Списание ценных бумаг с лицевого счета владельца и их зачисление на лицевой счет номинального держателя, </w:t>
            </w:r>
            <w:r>
              <w:rPr>
                <w:rFonts w:hint="default" w:ascii="Times New Roman" w:hAnsi="Times New Roman" w:eastAsia="Times New Roman"/>
                <w:b w:val="0"/>
                <w:bCs/>
                <w:sz w:val="20"/>
                <w:szCs w:val="24"/>
              </w:rPr>
              <w:t>или лицевой счет номинального держателя центрального депозитария, или лицевой счет доверительного управляющего, если проведение таких операций не связано с переходом прав на ценные бумаги</w:t>
            </w:r>
            <w:r>
              <w:rPr>
                <w:rFonts w:hint="default" w:ascii="Times New Roman" w:hAnsi="Times New Roman" w:eastAsia="Times New Roman"/>
                <w:b w:val="0"/>
                <w:bCs/>
                <w:sz w:val="20"/>
                <w:szCs w:val="24"/>
                <w:lang w:val="ru-RU"/>
              </w:rPr>
              <w:t xml:space="preserve">, </w:t>
            </w:r>
            <w:r>
              <w:rPr>
                <w:b w:val="0"/>
                <w:bCs/>
              </w:rPr>
              <w:t>в совокупности за обе операции</w:t>
            </w:r>
            <w:r>
              <w:rPr>
                <w:rFonts w:hint="default" w:ascii="Times New Roman" w:hAnsi="Times New Roman" w:eastAsia="Times New Roman"/>
                <w:b w:val="0"/>
                <w:bCs/>
                <w:sz w:val="20"/>
                <w:szCs w:val="24"/>
              </w:rPr>
              <w:t>.</w:t>
            </w:r>
          </w:p>
          <w:p w14:paraId="0DCD0F1F">
            <w:pPr>
              <w:spacing w:beforeLines="0" w:afterLines="0"/>
              <w:jc w:val="both"/>
              <w:rPr>
                <w:rFonts w:hint="default" w:ascii="Times New Roman" w:hAnsi="Times New Roman" w:eastAsia="Times New Roman"/>
                <w:b w:val="0"/>
                <w:bCs/>
                <w:sz w:val="20"/>
                <w:szCs w:val="24"/>
              </w:rPr>
            </w:pPr>
          </w:p>
        </w:tc>
        <w:tc>
          <w:tcPr>
            <w:tcW w:w="1566" w:type="dxa"/>
            <w:tcBorders>
              <w:left w:val="single" w:color="000000" w:sz="6" w:space="0"/>
              <w:bottom w:val="double" w:color="000000" w:sz="6" w:space="0"/>
              <w:right w:val="double" w:color="000000" w:sz="6" w:space="0"/>
            </w:tcBorders>
            <w:tcMar>
              <w:left w:w="71" w:type="dxa"/>
              <w:right w:w="71" w:type="dxa"/>
            </w:tcMar>
            <w:vAlign w:val="bottom"/>
          </w:tcPr>
          <w:p w14:paraId="37D2D2DA">
            <w:pPr>
              <w:bidi w:val="0"/>
              <w:ind w:left="0" w:right="0" w:firstLine="0"/>
              <w:jc w:val="right"/>
              <w:rPr>
                <w:rFonts w:hint="default"/>
                <w:lang w:val="ru-RU"/>
              </w:rPr>
            </w:pPr>
            <w:bookmarkStart w:id="0" w:name="_GoBack"/>
            <w:bookmarkEnd w:id="0"/>
            <w:r>
              <w:rPr>
                <w:rFonts w:hint="default"/>
                <w:lang w:val="ru-RU"/>
              </w:rPr>
              <w:t>1</w:t>
            </w:r>
            <w:r>
              <w:t xml:space="preserve"> 000</w:t>
            </w:r>
          </w:p>
        </w:tc>
      </w:tr>
      <w:tr w14:paraId="30CC6E7E">
        <w:tblPrEx>
          <w:tblCellMar>
            <w:top w:w="0" w:type="dxa"/>
            <w:left w:w="70" w:type="dxa"/>
            <w:bottom w:w="0" w:type="dxa"/>
            <w:right w:w="70" w:type="dxa"/>
          </w:tblCellMar>
        </w:tblPrEx>
        <w:trPr>
          <w:trHeight w:val="3109" w:hRule="atLeast"/>
        </w:trPr>
        <w:tc>
          <w:tcPr>
            <w:tcW w:w="645" w:type="dxa"/>
            <w:tcBorders>
              <w:left w:val="double" w:color="000000" w:sz="6" w:space="0"/>
              <w:bottom w:val="double" w:color="000000" w:sz="6" w:space="0"/>
              <w:right w:val="single" w:color="000000" w:sz="6" w:space="0"/>
            </w:tcBorders>
            <w:tcMar>
              <w:left w:w="71" w:type="dxa"/>
              <w:right w:w="71" w:type="dxa"/>
            </w:tcMar>
          </w:tcPr>
          <w:p w14:paraId="08EA88B9">
            <w:pPr>
              <w:bidi w:val="0"/>
              <w:ind w:left="0" w:right="0" w:firstLine="0"/>
              <w:jc w:val="right"/>
              <w:rPr>
                <w:rFonts w:hint="default"/>
                <w:b/>
                <w:bCs/>
                <w:lang w:val="ru-RU"/>
              </w:rPr>
            </w:pPr>
            <w:r>
              <w:rPr>
                <w:rFonts w:hint="default"/>
                <w:b/>
                <w:bCs/>
                <w:lang w:val="ru-RU"/>
              </w:rPr>
              <w:t>8.</w:t>
            </w:r>
          </w:p>
        </w:tc>
        <w:tc>
          <w:tcPr>
            <w:tcW w:w="8066" w:type="dxa"/>
            <w:tcBorders>
              <w:left w:val="single" w:color="000000" w:sz="6" w:space="0"/>
              <w:bottom w:val="double" w:color="000000" w:sz="6" w:space="0"/>
              <w:right w:val="single" w:color="000000" w:sz="6" w:space="0"/>
            </w:tcBorders>
            <w:tcMar>
              <w:left w:w="71" w:type="dxa"/>
              <w:right w:w="71" w:type="dxa"/>
            </w:tcMar>
          </w:tcPr>
          <w:p w14:paraId="5EBA1BEB">
            <w:pPr>
              <w:spacing w:beforeLines="0" w:afterLines="0"/>
              <w:jc w:val="both"/>
              <w:rPr>
                <w:rFonts w:hint="default" w:ascii="Times New Roman" w:hAnsi="Times New Roman" w:eastAsia="Times New Roman"/>
                <w:b/>
                <w:sz w:val="20"/>
                <w:szCs w:val="24"/>
              </w:rPr>
            </w:pPr>
            <w:r>
              <w:rPr>
                <w:rFonts w:hint="default" w:ascii="Times New Roman" w:hAnsi="Times New Roman" w:eastAsia="Times New Roman"/>
                <w:b/>
                <w:sz w:val="20"/>
                <w:szCs w:val="24"/>
              </w:rPr>
              <w:t xml:space="preserve">Списание ценных бумаг с лицевого счета и их зачисление на </w:t>
            </w:r>
            <w:r>
              <w:rPr>
                <w:rFonts w:hint="default" w:ascii="Times New Roman" w:hAnsi="Times New Roman" w:eastAsia="Times New Roman"/>
                <w:b/>
                <w:sz w:val="20"/>
                <w:szCs w:val="24"/>
                <w:lang w:val="ru-RU"/>
              </w:rPr>
              <w:t xml:space="preserve">другой </w:t>
            </w:r>
            <w:r>
              <w:rPr>
                <w:rFonts w:hint="default" w:ascii="Times New Roman" w:hAnsi="Times New Roman" w:eastAsia="Times New Roman"/>
                <w:b/>
                <w:sz w:val="20"/>
                <w:szCs w:val="24"/>
              </w:rPr>
              <w:t>лицевой счет в связи с переходом прав на ценные бумаги в порядке наследования</w:t>
            </w:r>
            <w:r>
              <w:rPr>
                <w:rFonts w:hint="default" w:ascii="Times New Roman" w:hAnsi="Times New Roman" w:eastAsia="Times New Roman"/>
                <w:b/>
                <w:sz w:val="20"/>
                <w:szCs w:val="24"/>
                <w:lang w:val="ru-RU"/>
              </w:rPr>
              <w:t xml:space="preserve"> </w:t>
            </w:r>
            <w:r>
              <w:rPr>
                <w:rFonts w:hint="default" w:ascii="Times New Roman" w:hAnsi="Times New Roman" w:eastAsia="Times New Roman"/>
                <w:b w:val="0"/>
                <w:bCs/>
                <w:sz w:val="20"/>
                <w:szCs w:val="24"/>
                <w:lang w:val="ru-RU"/>
              </w:rPr>
              <w:t xml:space="preserve">или </w:t>
            </w:r>
            <w:r>
              <w:rPr>
                <w:rFonts w:hint="default" w:ascii="Times New Roman" w:hAnsi="Times New Roman" w:eastAsia="Times New Roman"/>
                <w:b w:val="0"/>
                <w:bCs/>
                <w:sz w:val="20"/>
                <w:szCs w:val="24"/>
                <w:highlight w:val="none"/>
                <w:lang w:val="ru-RU"/>
              </w:rPr>
              <w:t xml:space="preserve">по свидетельству о праве собственности на долю в общем имуществе супругов, </w:t>
            </w:r>
            <w:r>
              <w:rPr>
                <w:b w:val="0"/>
                <w:bCs/>
                <w:highlight w:val="none"/>
              </w:rPr>
              <w:t>в совоку</w:t>
            </w:r>
            <w:r>
              <w:rPr>
                <w:b w:val="0"/>
                <w:bCs/>
              </w:rPr>
              <w:t>пности за операци</w:t>
            </w:r>
            <w:r>
              <w:rPr>
                <w:b w:val="0"/>
                <w:bCs/>
                <w:lang w:val="ru-RU"/>
              </w:rPr>
              <w:t>ю</w:t>
            </w:r>
            <w:r>
              <w:rPr>
                <w:rFonts w:hint="default"/>
                <w:b w:val="0"/>
                <w:bCs/>
                <w:lang w:val="ru-RU"/>
              </w:rPr>
              <w:t xml:space="preserve"> списания ценных бумаг с лицевого счета и зачисления ценных бумаг на другой лицевой счет</w:t>
            </w:r>
            <w:r>
              <w:rPr>
                <w:rStyle w:val="5"/>
                <w:rFonts w:hint="default"/>
                <w:b w:val="0"/>
                <w:bCs/>
                <w:lang w:val="ru-RU"/>
              </w:rPr>
              <w:endnoteReference w:id="2"/>
            </w:r>
            <w:r>
              <w:rPr>
                <w:rFonts w:hint="default" w:ascii="Times New Roman" w:hAnsi="Times New Roman" w:eastAsia="Times New Roman"/>
                <w:b w:val="0"/>
                <w:bCs/>
                <w:sz w:val="20"/>
                <w:szCs w:val="24"/>
              </w:rPr>
              <w:t>.</w:t>
            </w:r>
          </w:p>
        </w:tc>
        <w:tc>
          <w:tcPr>
            <w:tcW w:w="1566" w:type="dxa"/>
            <w:tcBorders>
              <w:left w:val="single" w:color="000000" w:sz="6" w:space="0"/>
              <w:bottom w:val="double" w:color="000000" w:sz="6" w:space="0"/>
              <w:right w:val="double" w:color="000000" w:sz="6" w:space="0"/>
            </w:tcBorders>
            <w:tcMar>
              <w:left w:w="71" w:type="dxa"/>
              <w:right w:w="71" w:type="dxa"/>
            </w:tcMar>
            <w:vAlign w:val="bottom"/>
          </w:tcPr>
          <w:p w14:paraId="7A964789">
            <w:pPr>
              <w:spacing w:beforeLines="0" w:afterLines="0"/>
              <w:jc w:val="center"/>
              <w:rPr>
                <w:rFonts w:hint="default" w:ascii="Times New Roman" w:hAnsi="Times New Roman" w:eastAsia="Times New Roman"/>
                <w:b w:val="0"/>
                <w:bCs/>
                <w:sz w:val="20"/>
                <w:szCs w:val="24"/>
                <w:lang w:val="ru-RU"/>
              </w:rPr>
            </w:pPr>
            <w:r>
              <w:rPr>
                <w:rFonts w:hint="default" w:ascii="Times New Roman" w:hAnsi="Times New Roman" w:eastAsia="Times New Roman"/>
                <w:b w:val="0"/>
                <w:bCs/>
                <w:sz w:val="20"/>
                <w:szCs w:val="24"/>
              </w:rPr>
              <w:t xml:space="preserve">1 </w:t>
            </w:r>
            <w:r>
              <w:rPr>
                <w:rFonts w:hint="default" w:ascii="Times New Roman" w:hAnsi="Times New Roman" w:eastAsia="Times New Roman"/>
                <w:b w:val="0"/>
                <w:bCs/>
                <w:sz w:val="20"/>
                <w:szCs w:val="24"/>
                <w:lang w:val="ru-RU"/>
              </w:rPr>
              <w:t>%</w:t>
            </w:r>
            <w:r>
              <w:rPr>
                <w:rFonts w:hint="default" w:ascii="Times New Roman" w:hAnsi="Times New Roman" w:eastAsia="Times New Roman"/>
                <w:b w:val="0"/>
                <w:bCs/>
                <w:sz w:val="20"/>
                <w:szCs w:val="24"/>
              </w:rPr>
              <w:t xml:space="preserve"> от стоимости  ценных бумаг, в отношении которых проводится операция списания с лицевого счета</w:t>
            </w:r>
            <w:r>
              <w:rPr>
                <w:rFonts w:hint="default" w:ascii="Times New Roman" w:hAnsi="Times New Roman" w:eastAsia="Times New Roman"/>
                <w:b w:val="0"/>
                <w:bCs/>
                <w:sz w:val="20"/>
                <w:szCs w:val="24"/>
                <w:lang w:val="ru-RU"/>
              </w:rPr>
              <w:t>,</w:t>
            </w:r>
          </w:p>
          <w:p w14:paraId="627A7FB3">
            <w:pPr>
              <w:spacing w:beforeLines="0" w:afterLines="0"/>
              <w:jc w:val="center"/>
              <w:rPr>
                <w:rFonts w:hint="default"/>
                <w:lang w:val="ru-RU"/>
              </w:rPr>
            </w:pPr>
            <w:r>
              <w:rPr>
                <w:rFonts w:hint="default" w:ascii="Times New Roman" w:hAnsi="Times New Roman" w:eastAsia="Times New Roman"/>
                <w:sz w:val="20"/>
                <w:szCs w:val="24"/>
              </w:rPr>
              <w:t>но не менее 100 руб</w:t>
            </w:r>
            <w:r>
              <w:rPr>
                <w:rFonts w:hint="default" w:ascii="Times New Roman" w:hAnsi="Times New Roman" w:eastAsia="Times New Roman"/>
                <w:sz w:val="20"/>
                <w:szCs w:val="24"/>
                <w:lang w:val="ru-RU"/>
              </w:rPr>
              <w:t>.</w:t>
            </w:r>
            <w:r>
              <w:rPr>
                <w:rFonts w:hint="default" w:ascii="Times New Roman" w:hAnsi="Times New Roman" w:eastAsia="Times New Roman"/>
                <w:sz w:val="20"/>
                <w:szCs w:val="24"/>
              </w:rPr>
              <w:t>и не более 100 000 руб</w:t>
            </w:r>
            <w:r>
              <w:rPr>
                <w:rFonts w:hint="default" w:ascii="Times New Roman" w:hAnsi="Times New Roman" w:eastAsia="Times New Roman"/>
                <w:sz w:val="20"/>
                <w:szCs w:val="24"/>
                <w:lang w:val="ru-RU"/>
              </w:rPr>
              <w:t>.</w:t>
            </w:r>
          </w:p>
        </w:tc>
      </w:tr>
      <w:tr w14:paraId="6699D413">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47CB11A8">
            <w:pPr>
              <w:bidi w:val="0"/>
              <w:ind w:left="0" w:right="0" w:firstLine="0"/>
              <w:jc w:val="right"/>
              <w:rPr>
                <w:lang w:val="en-US"/>
              </w:rPr>
            </w:pPr>
            <w:r>
              <w:rPr>
                <w:rFonts w:hint="default"/>
                <w:b/>
                <w:bCs/>
                <w:lang w:val="ru-RU"/>
              </w:rPr>
              <w:t>9</w:t>
            </w:r>
            <w:r>
              <w:rPr>
                <w:b/>
                <w:bCs/>
              </w:rPr>
              <w:t>.</w:t>
            </w:r>
          </w:p>
        </w:tc>
        <w:tc>
          <w:tcPr>
            <w:tcW w:w="8066" w:type="dxa"/>
            <w:tcBorders>
              <w:top w:val="double" w:color="000000" w:sz="6" w:space="0"/>
              <w:left w:val="single" w:color="000000" w:sz="6" w:space="0"/>
              <w:right w:val="single" w:color="000000" w:sz="6" w:space="0"/>
            </w:tcBorders>
            <w:tcMar>
              <w:left w:w="71" w:type="dxa"/>
              <w:right w:w="71" w:type="dxa"/>
            </w:tcMar>
          </w:tcPr>
          <w:p w14:paraId="37DDC28B">
            <w:pPr>
              <w:bidi w:val="0"/>
              <w:ind w:left="0" w:right="0" w:firstLine="0"/>
              <w:jc w:val="both"/>
            </w:pPr>
            <w:r>
              <w:rPr>
                <w:b/>
                <w:bCs/>
              </w:rPr>
              <w:t>За внесение записи по лицевому счету об обременении (прекращении обременения) ценных бумаг</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16482FD3">
            <w:pPr>
              <w:bidi w:val="0"/>
              <w:ind w:left="0" w:right="0" w:firstLine="0"/>
              <w:jc w:val="right"/>
            </w:pPr>
            <w:r>
              <w:rPr>
                <w:rFonts w:hint="default"/>
                <w:lang w:val="ru-RU"/>
              </w:rPr>
              <w:t>3 0</w:t>
            </w:r>
            <w:r>
              <w:t>00</w:t>
            </w:r>
          </w:p>
        </w:tc>
      </w:tr>
      <w:tr w14:paraId="498F17DB">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7B00CF1D">
            <w:pPr>
              <w:bidi w:val="0"/>
              <w:ind w:left="0" w:right="0" w:firstLine="0"/>
              <w:jc w:val="right"/>
            </w:pPr>
            <w:r>
              <w:rPr>
                <w:rFonts w:hint="default"/>
                <w:b/>
                <w:bCs/>
                <w:lang w:val="ru-RU"/>
              </w:rPr>
              <w:t>10</w:t>
            </w:r>
            <w:r>
              <w:rPr>
                <w:b/>
                <w:bCs/>
              </w:rPr>
              <w:t>.</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24FA4811">
            <w:pPr>
              <w:bidi w:val="0"/>
              <w:ind w:left="0" w:right="0" w:firstLine="0"/>
              <w:jc w:val="both"/>
            </w:pPr>
            <w:r>
              <w:rPr>
                <w:b/>
                <w:bCs/>
              </w:rPr>
              <w:t>За внесение записи по лицевому счету об изменении сведений, содержащихся в записи об обременении ценных бумаг, за исключением внесения записи по лицевому счету о прекращении обременения ценных бумаг</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4FA43034">
            <w:pPr>
              <w:bidi w:val="0"/>
              <w:ind w:left="0" w:right="0" w:firstLine="0"/>
              <w:jc w:val="right"/>
            </w:pPr>
            <w:r>
              <w:rPr>
                <w:rFonts w:hint="default"/>
                <w:lang w:val="ru-RU"/>
              </w:rPr>
              <w:t>3 0</w:t>
            </w:r>
            <w:r>
              <w:t>00</w:t>
            </w:r>
          </w:p>
        </w:tc>
      </w:tr>
      <w:tr w14:paraId="0DF50880">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81591D3">
            <w:pPr>
              <w:bidi w:val="0"/>
              <w:ind w:left="0" w:right="0" w:firstLine="0"/>
              <w:jc w:val="right"/>
            </w:pPr>
            <w:r>
              <w:rPr>
                <w:rFonts w:hint="default"/>
                <w:b/>
                <w:bCs/>
                <w:lang w:val="ru-RU"/>
              </w:rPr>
              <w:t>11</w:t>
            </w:r>
            <w:r>
              <w:rPr>
                <w:b/>
                <w:bCs/>
              </w:rPr>
              <w:t>.</w:t>
            </w:r>
          </w:p>
        </w:tc>
        <w:tc>
          <w:tcPr>
            <w:tcW w:w="8066" w:type="dxa"/>
            <w:tcBorders>
              <w:top w:val="double" w:color="000000" w:sz="6" w:space="0"/>
              <w:left w:val="single" w:color="000000" w:sz="6" w:space="0"/>
              <w:right w:val="single" w:color="000000" w:sz="6" w:space="0"/>
            </w:tcBorders>
            <w:tcMar>
              <w:left w:w="71" w:type="dxa"/>
              <w:right w:w="71" w:type="dxa"/>
            </w:tcMar>
          </w:tcPr>
          <w:p w14:paraId="59C3BDA5">
            <w:pPr>
              <w:bidi w:val="0"/>
              <w:ind w:left="0" w:right="0" w:firstLine="0"/>
              <w:jc w:val="both"/>
            </w:pPr>
            <w:r>
              <w:rPr>
                <w:b/>
                <w:bCs/>
              </w:rPr>
              <w:t xml:space="preserve">За внесение записи об ограничении/снятии ограничения  распоряжения ценными бумагами по лицевому счету зарегистрированного лица (гл. </w:t>
            </w:r>
            <w:r>
              <w:rPr>
                <w:b/>
                <w:bCs/>
                <w:lang w:val="en-US"/>
              </w:rPr>
              <w:t>XI</w:t>
            </w:r>
            <w:r>
              <w:rPr>
                <w:b/>
                <w:bCs/>
              </w:rPr>
              <w:t>.1, ст. 72,76 Федерального закона «Об акционерных обществах» № 208-ФЗ)</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507BD704">
            <w:pPr>
              <w:bidi w:val="0"/>
              <w:ind w:left="0" w:right="0" w:firstLine="0"/>
              <w:jc w:val="right"/>
            </w:pPr>
            <w:r>
              <w:rPr>
                <w:rFonts w:hint="default"/>
                <w:lang w:val="ru-RU"/>
              </w:rPr>
              <w:t>6</w:t>
            </w:r>
            <w:r>
              <w:t>00</w:t>
            </w:r>
          </w:p>
        </w:tc>
      </w:tr>
      <w:tr w14:paraId="411D09BE">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020E6E12">
            <w:pPr>
              <w:bidi w:val="0"/>
              <w:ind w:left="0" w:right="0" w:firstLine="0"/>
              <w:jc w:val="right"/>
            </w:pPr>
            <w:r>
              <w:rPr>
                <w:rFonts w:hint="default"/>
                <w:b/>
                <w:bCs/>
                <w:lang w:val="ru-RU"/>
              </w:rPr>
              <w:t>12</w:t>
            </w:r>
            <w:r>
              <w:rPr>
                <w:b/>
                <w:bCs/>
              </w:rPr>
              <w:t>.</w:t>
            </w:r>
          </w:p>
        </w:tc>
        <w:tc>
          <w:tcPr>
            <w:tcW w:w="8066" w:type="dxa"/>
            <w:tcBorders>
              <w:top w:val="double" w:color="000000" w:sz="6" w:space="0"/>
              <w:left w:val="single" w:color="000000" w:sz="6" w:space="0"/>
              <w:right w:val="single" w:color="000000" w:sz="6" w:space="0"/>
            </w:tcBorders>
            <w:tcMar>
              <w:left w:w="71" w:type="dxa"/>
              <w:right w:w="71" w:type="dxa"/>
            </w:tcMar>
          </w:tcPr>
          <w:p w14:paraId="084E9E88">
            <w:pPr>
              <w:bidi w:val="0"/>
              <w:ind w:left="0" w:right="0" w:firstLine="0"/>
              <w:jc w:val="both"/>
            </w:pPr>
            <w:r>
              <w:rPr>
                <w:b/>
                <w:bCs/>
              </w:rPr>
              <w:t>За внесение записей о списании и зачислении ценных бумаг в результате реорганизации юридического лица в форме преобразования,</w:t>
            </w:r>
            <w:r>
              <w:rPr>
                <w:sz w:val="22"/>
              </w:rPr>
              <w:t xml:space="preserve"> </w:t>
            </w:r>
            <w:r>
              <w:t>в совокупности за обе операции</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73DD03B3">
            <w:pPr>
              <w:bidi w:val="0"/>
              <w:ind w:left="0" w:right="0" w:firstLine="0"/>
              <w:jc w:val="right"/>
            </w:pPr>
            <w:r>
              <w:t>3 000</w:t>
            </w:r>
          </w:p>
        </w:tc>
      </w:tr>
      <w:tr w14:paraId="33BFB122">
        <w:tblPrEx>
          <w:tblCellMar>
            <w:top w:w="0" w:type="dxa"/>
            <w:left w:w="70" w:type="dxa"/>
            <w:bottom w:w="0" w:type="dxa"/>
            <w:right w:w="70" w:type="dxa"/>
          </w:tblCellMar>
        </w:tblPrEx>
        <w:tc>
          <w:tcPr>
            <w:tcW w:w="10277" w:type="dxa"/>
            <w:gridSpan w:val="3"/>
            <w:tcBorders>
              <w:top w:val="double" w:color="000000" w:sz="6" w:space="0"/>
              <w:left w:val="double" w:color="000000" w:sz="6" w:space="0"/>
              <w:right w:val="double" w:color="000000" w:sz="6" w:space="0"/>
            </w:tcBorders>
            <w:tcMar>
              <w:left w:w="71" w:type="dxa"/>
              <w:right w:w="71" w:type="dxa"/>
            </w:tcMar>
          </w:tcPr>
          <w:p w14:paraId="3C792E0C">
            <w:pPr>
              <w:bidi w:val="0"/>
              <w:ind w:left="0" w:right="0" w:firstLine="0"/>
              <w:jc w:val="center"/>
              <w:rPr>
                <w:rFonts w:hint="default"/>
                <w:highlight w:val="yellow"/>
                <w:lang w:val="ru-RU"/>
              </w:rPr>
            </w:pPr>
            <w:r>
              <w:rPr>
                <w:b/>
                <w:bCs/>
                <w:lang w:val="ru-RU"/>
              </w:rPr>
              <w:t>Предоставление</w:t>
            </w:r>
            <w:r>
              <w:rPr>
                <w:rFonts w:hint="default"/>
                <w:b/>
                <w:bCs/>
                <w:lang w:val="ru-RU"/>
              </w:rPr>
              <w:t xml:space="preserve"> </w:t>
            </w:r>
            <w:r>
              <w:rPr>
                <w:b/>
                <w:bCs/>
                <w:lang w:val="ru-RU"/>
              </w:rPr>
              <w:t>информации</w:t>
            </w:r>
            <w:r>
              <w:rPr>
                <w:rFonts w:hint="default"/>
                <w:b/>
                <w:bCs/>
                <w:lang w:val="ru-RU"/>
              </w:rPr>
              <w:t xml:space="preserve"> из реестра </w:t>
            </w:r>
          </w:p>
        </w:tc>
      </w:tr>
      <w:tr w14:paraId="1374680D">
        <w:tblPrEx>
          <w:tblCellMar>
            <w:top w:w="0" w:type="dxa"/>
            <w:left w:w="70" w:type="dxa"/>
            <w:bottom w:w="0" w:type="dxa"/>
            <w:right w:w="70" w:type="dxa"/>
          </w:tblCellMar>
        </w:tblPrEx>
        <w:trPr>
          <w:trHeight w:val="769" w:hRule="atLeast"/>
        </w:trPr>
        <w:tc>
          <w:tcPr>
            <w:tcW w:w="645" w:type="dxa"/>
            <w:tcBorders>
              <w:top w:val="double" w:color="000000" w:sz="6" w:space="0"/>
              <w:left w:val="double" w:color="000000" w:sz="6" w:space="0"/>
              <w:right w:val="single" w:color="000000" w:sz="6" w:space="0"/>
            </w:tcBorders>
            <w:tcMar>
              <w:left w:w="71" w:type="dxa"/>
              <w:right w:w="71" w:type="dxa"/>
            </w:tcMar>
          </w:tcPr>
          <w:p w14:paraId="6D49D5AA">
            <w:pPr>
              <w:bidi w:val="0"/>
              <w:ind w:left="0" w:right="0" w:firstLine="0"/>
              <w:jc w:val="right"/>
            </w:pPr>
            <w:r>
              <w:rPr>
                <w:b/>
                <w:bCs/>
              </w:rPr>
              <w:t>1</w:t>
            </w:r>
            <w:r>
              <w:rPr>
                <w:rFonts w:hint="default"/>
                <w:b/>
                <w:bCs/>
                <w:lang w:val="ru-RU"/>
              </w:rPr>
              <w:t>3</w:t>
            </w:r>
            <w:r>
              <w:rPr>
                <w:b/>
                <w:bCs/>
              </w:rPr>
              <w:t>.</w:t>
            </w:r>
          </w:p>
        </w:tc>
        <w:tc>
          <w:tcPr>
            <w:tcW w:w="8066" w:type="dxa"/>
            <w:tcBorders>
              <w:top w:val="double" w:color="000000" w:sz="6" w:space="0"/>
              <w:left w:val="single" w:color="000000" w:sz="6" w:space="0"/>
              <w:right w:val="single" w:color="000000" w:sz="6" w:space="0"/>
            </w:tcBorders>
            <w:tcMar>
              <w:left w:w="71" w:type="dxa"/>
              <w:right w:w="71" w:type="dxa"/>
            </w:tcMar>
          </w:tcPr>
          <w:p w14:paraId="64672689">
            <w:pPr>
              <w:bidi w:val="0"/>
              <w:ind w:left="0" w:right="0" w:firstLine="0"/>
              <w:rPr>
                <w:rFonts w:ascii="Times New Roman" w:hAnsi="Times New Roman"/>
                <w:b/>
                <w:bCs/>
              </w:rPr>
            </w:pPr>
            <w:r>
              <w:rPr>
                <w:b/>
                <w:bCs/>
              </w:rPr>
              <w:t>Предоставление выписки из реестра</w:t>
            </w:r>
          </w:p>
          <w:p w14:paraId="74C68BF6">
            <w:pPr>
              <w:bidi w:val="0"/>
              <w:ind w:left="0" w:right="0" w:firstLine="0"/>
              <w:rPr>
                <w:rFonts w:ascii="Times New Roman" w:hAnsi="Times New Roman"/>
                <w:bCs/>
              </w:rPr>
            </w:pPr>
            <w:r>
              <w:rPr>
                <w:bCs/>
              </w:rPr>
              <w:t>на бумажном носителе</w:t>
            </w:r>
          </w:p>
          <w:p w14:paraId="4418BB25">
            <w:pPr>
              <w:bidi w:val="0"/>
              <w:ind w:left="0" w:right="0" w:firstLine="0"/>
            </w:pPr>
            <w:r>
              <w:rPr>
                <w:bCs/>
              </w:rPr>
              <w:t xml:space="preserve">в форме электронного документа </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13D97D78">
            <w:pPr>
              <w:bidi w:val="0"/>
              <w:ind w:left="0" w:right="0" w:firstLine="0"/>
              <w:jc w:val="right"/>
              <w:rPr>
                <w:rFonts w:ascii="Times New Roman" w:hAnsi="Times New Roman"/>
              </w:rPr>
            </w:pPr>
          </w:p>
          <w:p w14:paraId="50C3153C">
            <w:pPr>
              <w:bidi w:val="0"/>
              <w:ind w:left="0" w:right="0" w:firstLine="0"/>
              <w:jc w:val="right"/>
              <w:rPr>
                <w:rFonts w:hint="default" w:ascii="Times New Roman" w:hAnsi="Times New Roman"/>
                <w:lang w:val="ru-RU"/>
              </w:rPr>
            </w:pPr>
            <w:r>
              <w:rPr>
                <w:rFonts w:hint="default"/>
                <w:lang w:val="ru-RU"/>
              </w:rPr>
              <w:t>350</w:t>
            </w:r>
          </w:p>
          <w:p w14:paraId="19F16F83">
            <w:pPr>
              <w:bidi w:val="0"/>
              <w:ind w:left="0" w:right="0" w:firstLine="0"/>
              <w:jc w:val="right"/>
              <w:rPr>
                <w:rFonts w:hint="default" w:ascii="Times New Roman" w:hAnsi="Times New Roman"/>
                <w:lang w:val="ru-RU"/>
              </w:rPr>
            </w:pPr>
            <w:r>
              <w:rPr>
                <w:rFonts w:hint="default"/>
                <w:lang w:val="ru-RU"/>
              </w:rPr>
              <w:t>175</w:t>
            </w:r>
          </w:p>
          <w:p w14:paraId="2713D30F">
            <w:pPr>
              <w:bidi w:val="0"/>
              <w:ind w:left="0" w:right="0" w:firstLine="0"/>
              <w:jc w:val="right"/>
            </w:pPr>
          </w:p>
        </w:tc>
      </w:tr>
      <w:tr w14:paraId="3A26999B">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80DAA85">
            <w:pPr>
              <w:bidi w:val="0"/>
              <w:ind w:left="0" w:right="0" w:firstLine="0"/>
              <w:jc w:val="right"/>
            </w:pPr>
            <w:r>
              <w:rPr>
                <w:b/>
                <w:bCs/>
              </w:rPr>
              <w:t>1</w:t>
            </w:r>
            <w:r>
              <w:rPr>
                <w:rFonts w:hint="default"/>
                <w:b/>
                <w:bCs/>
                <w:lang w:val="ru-RU"/>
              </w:rPr>
              <w:t>4</w:t>
            </w:r>
            <w:r>
              <w:rPr>
                <w:b/>
                <w:bCs/>
              </w:rPr>
              <w:t>.</w:t>
            </w:r>
          </w:p>
        </w:tc>
        <w:tc>
          <w:tcPr>
            <w:tcW w:w="8066" w:type="dxa"/>
            <w:tcBorders>
              <w:top w:val="double" w:color="000000" w:sz="6" w:space="0"/>
              <w:left w:val="single" w:color="000000" w:sz="6" w:space="0"/>
              <w:right w:val="single" w:color="000000" w:sz="6" w:space="0"/>
            </w:tcBorders>
            <w:tcMar>
              <w:left w:w="71" w:type="dxa"/>
              <w:right w:w="71" w:type="dxa"/>
            </w:tcMar>
          </w:tcPr>
          <w:p w14:paraId="27BC96EE">
            <w:pPr>
              <w:bidi w:val="0"/>
              <w:ind w:left="0" w:right="0" w:firstLine="0"/>
            </w:pPr>
            <w:r>
              <w:rPr>
                <w:b/>
                <w:bCs/>
              </w:rPr>
              <w:t>Предоставление выписки из реестра при размещении ценных бумаг</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5E1D43C6">
            <w:pPr>
              <w:bidi w:val="0"/>
              <w:ind w:left="0" w:right="0" w:firstLine="0"/>
              <w:jc w:val="right"/>
            </w:pPr>
            <w:r>
              <w:t>Бесплатно</w:t>
            </w:r>
          </w:p>
        </w:tc>
      </w:tr>
      <w:tr w14:paraId="0B536093">
        <w:tblPrEx>
          <w:tblCellMar>
            <w:top w:w="0" w:type="dxa"/>
            <w:left w:w="70" w:type="dxa"/>
            <w:bottom w:w="0" w:type="dxa"/>
            <w:right w:w="70" w:type="dxa"/>
          </w:tblCellMar>
        </w:tblPrEx>
        <w:tc>
          <w:tcPr>
            <w:tcW w:w="645" w:type="dxa"/>
            <w:tcBorders>
              <w:top w:val="double" w:color="000000" w:sz="6" w:space="0"/>
              <w:left w:val="double" w:color="000000" w:sz="6" w:space="0"/>
              <w:right w:val="single" w:color="000000" w:sz="6" w:space="0"/>
            </w:tcBorders>
            <w:tcMar>
              <w:left w:w="71" w:type="dxa"/>
              <w:right w:w="71" w:type="dxa"/>
            </w:tcMar>
          </w:tcPr>
          <w:p w14:paraId="3C1554AD">
            <w:pPr>
              <w:bidi w:val="0"/>
              <w:ind w:left="0" w:right="0" w:firstLine="0"/>
              <w:jc w:val="right"/>
            </w:pPr>
            <w:r>
              <w:rPr>
                <w:b/>
                <w:bCs/>
              </w:rPr>
              <w:t>1</w:t>
            </w:r>
            <w:r>
              <w:rPr>
                <w:rFonts w:hint="default"/>
                <w:b/>
                <w:bCs/>
                <w:lang w:val="ru-RU"/>
              </w:rPr>
              <w:t>5</w:t>
            </w:r>
            <w:r>
              <w:rPr>
                <w:b/>
                <w:bCs/>
              </w:rPr>
              <w:t>.</w:t>
            </w:r>
          </w:p>
        </w:tc>
        <w:tc>
          <w:tcPr>
            <w:tcW w:w="8066" w:type="dxa"/>
            <w:tcBorders>
              <w:top w:val="double" w:color="000000" w:sz="6" w:space="0"/>
              <w:left w:val="single" w:color="000000" w:sz="6" w:space="0"/>
              <w:right w:val="single" w:color="000000" w:sz="6" w:space="0"/>
            </w:tcBorders>
            <w:tcMar>
              <w:left w:w="71" w:type="dxa"/>
              <w:right w:w="71" w:type="dxa"/>
            </w:tcMar>
          </w:tcPr>
          <w:p w14:paraId="62A635AA">
            <w:pPr>
              <w:bidi w:val="0"/>
              <w:ind w:left="0" w:right="0" w:firstLine="0"/>
              <w:rPr>
                <w:bCs/>
              </w:rPr>
            </w:pPr>
            <w:r>
              <w:rPr>
                <w:b/>
                <w:bCs/>
              </w:rPr>
              <w:t xml:space="preserve">Предоставление справки о наличии на </w:t>
            </w:r>
            <w:r>
              <w:rPr>
                <w:b/>
                <w:bCs/>
                <w:lang w:val="ru-RU"/>
              </w:rPr>
              <w:t>лицевом</w:t>
            </w:r>
            <w:r>
              <w:rPr>
                <w:rFonts w:hint="default"/>
                <w:b/>
                <w:bCs/>
                <w:lang w:val="ru-RU"/>
              </w:rPr>
              <w:t xml:space="preserve"> </w:t>
            </w:r>
            <w:r>
              <w:rPr>
                <w:b/>
                <w:bCs/>
              </w:rPr>
              <w:t xml:space="preserve">счете </w:t>
            </w:r>
            <w:r>
              <w:rPr>
                <w:b/>
                <w:bCs/>
                <w:lang w:val="ru-RU"/>
              </w:rPr>
              <w:t>определённого</w:t>
            </w:r>
            <w:r>
              <w:rPr>
                <w:b/>
                <w:bCs/>
              </w:rPr>
              <w:t xml:space="preserve"> количества ценных бумаг</w:t>
            </w:r>
            <w:r>
              <w:rPr>
                <w:bCs/>
              </w:rPr>
              <w:t xml:space="preserve"> </w:t>
            </w:r>
          </w:p>
          <w:p w14:paraId="1D81F9CE">
            <w:pPr>
              <w:bidi w:val="0"/>
              <w:ind w:left="0" w:right="0" w:firstLine="0"/>
              <w:rPr>
                <w:rFonts w:ascii="Times New Roman" w:hAnsi="Times New Roman"/>
                <w:bCs/>
              </w:rPr>
            </w:pPr>
            <w:r>
              <w:rPr>
                <w:bCs/>
              </w:rPr>
              <w:t>на бумажном носителе</w:t>
            </w:r>
          </w:p>
          <w:p w14:paraId="77331948">
            <w:pPr>
              <w:bidi w:val="0"/>
              <w:ind w:left="0" w:right="0" w:firstLine="0"/>
              <w:jc w:val="both"/>
            </w:pPr>
            <w:r>
              <w:rPr>
                <w:bCs/>
              </w:rPr>
              <w:t xml:space="preserve">в форме электронного документа </w:t>
            </w:r>
          </w:p>
        </w:tc>
        <w:tc>
          <w:tcPr>
            <w:tcW w:w="1566" w:type="dxa"/>
            <w:tcBorders>
              <w:top w:val="double" w:color="000000" w:sz="6" w:space="0"/>
              <w:left w:val="single" w:color="000000" w:sz="6" w:space="0"/>
              <w:right w:val="double" w:color="000000" w:sz="6" w:space="0"/>
            </w:tcBorders>
            <w:tcMar>
              <w:left w:w="71" w:type="dxa"/>
              <w:right w:w="71" w:type="dxa"/>
            </w:tcMar>
            <w:vAlign w:val="bottom"/>
          </w:tcPr>
          <w:p w14:paraId="23423840">
            <w:pPr>
              <w:bidi w:val="0"/>
              <w:ind w:left="0" w:right="0" w:firstLine="0"/>
              <w:jc w:val="right"/>
              <w:rPr>
                <w:rFonts w:ascii="Times New Roman" w:hAnsi="Times New Roman"/>
              </w:rPr>
            </w:pPr>
          </w:p>
          <w:p w14:paraId="361B8315">
            <w:pPr>
              <w:bidi w:val="0"/>
              <w:ind w:left="0" w:right="0" w:firstLine="0"/>
              <w:jc w:val="right"/>
              <w:rPr>
                <w:rFonts w:hint="default" w:ascii="Times New Roman" w:hAnsi="Times New Roman"/>
                <w:lang w:val="ru-RU"/>
              </w:rPr>
            </w:pPr>
            <w:r>
              <w:rPr>
                <w:rFonts w:hint="default"/>
                <w:lang w:val="ru-RU"/>
              </w:rPr>
              <w:t>350</w:t>
            </w:r>
          </w:p>
          <w:p w14:paraId="28256C3D">
            <w:pPr>
              <w:bidi w:val="0"/>
              <w:ind w:left="0" w:right="0" w:firstLine="0"/>
              <w:jc w:val="right"/>
            </w:pPr>
            <w:r>
              <w:t>1</w:t>
            </w:r>
            <w:r>
              <w:rPr>
                <w:rFonts w:hint="default"/>
                <w:lang w:val="ru-RU"/>
              </w:rPr>
              <w:t>7</w:t>
            </w:r>
            <w:r>
              <w:t>5</w:t>
            </w:r>
          </w:p>
        </w:tc>
      </w:tr>
      <w:tr w14:paraId="4EC1A192">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1AC666CB">
            <w:pPr>
              <w:bidi w:val="0"/>
              <w:ind w:left="0" w:right="0" w:firstLine="0"/>
              <w:jc w:val="right"/>
            </w:pPr>
            <w:r>
              <w:rPr>
                <w:b/>
                <w:bCs/>
              </w:rPr>
              <w:t>1</w:t>
            </w:r>
            <w:r>
              <w:rPr>
                <w:rFonts w:hint="default"/>
                <w:b/>
                <w:bCs/>
                <w:lang w:val="ru-RU"/>
              </w:rPr>
              <w:t>6</w:t>
            </w:r>
            <w:r>
              <w:rPr>
                <w:b/>
                <w:bCs/>
              </w:rPr>
              <w:t>.</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71C74F67">
            <w:pPr>
              <w:bidi w:val="0"/>
              <w:ind w:left="0" w:right="0" w:firstLine="0"/>
              <w:rPr>
                <w:b/>
                <w:bCs/>
              </w:rPr>
            </w:pPr>
            <w:r>
              <w:rPr>
                <w:b/>
                <w:bCs/>
              </w:rPr>
              <w:t xml:space="preserve">Предоставление </w:t>
            </w:r>
            <w:r>
              <w:rPr>
                <w:b/>
                <w:bCs/>
                <w:lang w:val="ru-RU"/>
              </w:rPr>
              <w:t>отчета</w:t>
            </w:r>
            <w:r>
              <w:rPr>
                <w:b/>
                <w:bCs/>
              </w:rPr>
              <w:t xml:space="preserve"> (</w:t>
            </w:r>
            <w:r>
              <w:rPr>
                <w:b/>
                <w:bCs/>
                <w:lang w:val="ru-RU"/>
              </w:rPr>
              <w:t>справки</w:t>
            </w:r>
            <w:r>
              <w:rPr>
                <w:b/>
                <w:bCs/>
              </w:rPr>
              <w:t>) об операциях, совершенных  по лицевому счету</w:t>
            </w:r>
            <w:r>
              <w:rPr>
                <w:rFonts w:hint="default"/>
                <w:b/>
                <w:bCs/>
                <w:lang w:val="ru-RU"/>
              </w:rPr>
              <w:t>:</w:t>
            </w:r>
            <w:r>
              <w:rPr>
                <w:b/>
                <w:bCs/>
              </w:rPr>
              <w:t xml:space="preserve"> </w:t>
            </w:r>
          </w:p>
          <w:p w14:paraId="21C4FFA4">
            <w:pPr>
              <w:bidi w:val="0"/>
              <w:ind w:left="0" w:right="0" w:firstLine="0"/>
              <w:rPr>
                <w:rFonts w:ascii="Times New Roman" w:hAnsi="Times New Roman"/>
                <w:bCs/>
              </w:rPr>
            </w:pPr>
            <w:r>
              <w:rPr>
                <w:bCs/>
              </w:rPr>
              <w:t>на бумажном носителе</w:t>
            </w:r>
          </w:p>
          <w:p w14:paraId="725E0200">
            <w:pPr>
              <w:bidi w:val="0"/>
              <w:ind w:left="0" w:right="0" w:firstLine="0"/>
              <w:rPr>
                <w:rFonts w:ascii="Times New Roman" w:hAnsi="Times New Roman"/>
                <w:bCs/>
              </w:rPr>
            </w:pPr>
          </w:p>
          <w:p w14:paraId="6B22BC30">
            <w:pPr>
              <w:bidi w:val="0"/>
              <w:ind w:left="0" w:right="0" w:firstLine="0"/>
              <w:rPr>
                <w:rFonts w:ascii="Times New Roman" w:hAnsi="Times New Roman"/>
                <w:bCs/>
              </w:rPr>
            </w:pPr>
          </w:p>
          <w:p w14:paraId="69DB8698">
            <w:pPr>
              <w:bidi w:val="0"/>
              <w:ind w:left="0" w:right="0" w:firstLine="0"/>
              <w:rPr>
                <w:rFonts w:ascii="Times New Roman" w:hAnsi="Times New Roman"/>
                <w:bCs/>
              </w:rPr>
            </w:pPr>
          </w:p>
          <w:p w14:paraId="28891C96">
            <w:pPr>
              <w:bidi w:val="0"/>
              <w:ind w:left="0" w:right="0" w:firstLine="0"/>
              <w:rPr>
                <w:rFonts w:ascii="Times New Roman" w:hAnsi="Times New Roman"/>
                <w:bCs/>
              </w:rPr>
            </w:pPr>
          </w:p>
          <w:p w14:paraId="0CE01632">
            <w:pPr>
              <w:bidi w:val="0"/>
              <w:ind w:left="0" w:right="0" w:firstLine="0"/>
              <w:rPr>
                <w:rFonts w:ascii="Times New Roman" w:hAnsi="Times New Roman"/>
                <w:bCs/>
              </w:rPr>
            </w:pPr>
          </w:p>
          <w:p w14:paraId="62EE1021">
            <w:pPr>
              <w:bidi w:val="0"/>
              <w:ind w:left="0" w:right="0" w:firstLine="0"/>
              <w:jc w:val="both"/>
              <w:rPr>
                <w:bCs/>
              </w:rPr>
            </w:pPr>
          </w:p>
          <w:p w14:paraId="5551A17B">
            <w:pPr>
              <w:bidi w:val="0"/>
              <w:ind w:left="0" w:right="0" w:firstLine="0"/>
              <w:jc w:val="both"/>
              <w:rPr>
                <w:bCs/>
              </w:rPr>
            </w:pPr>
          </w:p>
          <w:p w14:paraId="5A821C90">
            <w:pPr>
              <w:bidi w:val="0"/>
              <w:ind w:left="0" w:right="0" w:firstLine="0"/>
              <w:jc w:val="both"/>
              <w:rPr>
                <w:bCs/>
              </w:rPr>
            </w:pPr>
          </w:p>
          <w:p w14:paraId="0D2DEBA0">
            <w:pPr>
              <w:bidi w:val="0"/>
              <w:ind w:left="0" w:right="0" w:firstLine="0"/>
              <w:jc w:val="both"/>
              <w:rPr>
                <w:bCs/>
              </w:rPr>
            </w:pPr>
          </w:p>
          <w:p w14:paraId="49F685CC">
            <w:pPr>
              <w:bidi w:val="0"/>
              <w:ind w:left="0" w:right="0" w:firstLine="0"/>
              <w:jc w:val="both"/>
              <w:rPr>
                <w:rFonts w:ascii="Times New Roman" w:hAnsi="Times New Roman"/>
                <w:bCs/>
              </w:rPr>
            </w:pPr>
            <w:r>
              <w:rPr>
                <w:bCs/>
              </w:rPr>
              <w:t xml:space="preserve">в форме электронного документа </w:t>
            </w:r>
          </w:p>
          <w:p w14:paraId="45F6A241">
            <w:pPr>
              <w:bidi w:val="0"/>
              <w:ind w:left="0" w:right="0" w:firstLine="0"/>
              <w:rPr>
                <w:bCs/>
              </w:rPr>
            </w:pP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2C3B6831">
            <w:pPr>
              <w:spacing w:beforeLines="0" w:afterLines="0"/>
              <w:jc w:val="center"/>
              <w:rPr>
                <w:rFonts w:hint="default" w:eastAsia="Times New Roman"/>
                <w:sz w:val="20"/>
                <w:szCs w:val="24"/>
                <w:lang w:val="ru-RU"/>
              </w:rPr>
            </w:pPr>
          </w:p>
          <w:p w14:paraId="1FC65AAD">
            <w:pPr>
              <w:spacing w:beforeLines="0" w:afterLines="0"/>
              <w:jc w:val="center"/>
              <w:rPr>
                <w:rFonts w:hint="default" w:ascii="Times New Roman" w:hAnsi="Times New Roman" w:eastAsia="Times New Roman"/>
                <w:sz w:val="16"/>
                <w:szCs w:val="16"/>
              </w:rPr>
            </w:pPr>
            <w:r>
              <w:rPr>
                <w:rFonts w:hint="default" w:eastAsia="Times New Roman"/>
                <w:sz w:val="20"/>
                <w:szCs w:val="24"/>
                <w:lang w:val="ru-RU"/>
              </w:rPr>
              <w:t>350+70*(</w:t>
            </w:r>
            <w:r>
              <w:rPr>
                <w:rFonts w:hint="default" w:eastAsia="Times New Roman"/>
                <w:sz w:val="20"/>
                <w:szCs w:val="24"/>
                <w:lang w:val="en-US"/>
              </w:rPr>
              <w:t>n-1</w:t>
            </w:r>
            <w:r>
              <w:rPr>
                <w:rFonts w:hint="default" w:eastAsia="Times New Roman"/>
                <w:sz w:val="20"/>
                <w:szCs w:val="24"/>
                <w:lang w:val="ru-RU"/>
              </w:rPr>
              <w:t>)</w:t>
            </w:r>
            <w:r>
              <w:rPr>
                <w:rFonts w:hint="default" w:ascii="Times New Roman" w:hAnsi="Times New Roman" w:eastAsia="Times New Roman"/>
                <w:sz w:val="20"/>
                <w:szCs w:val="24"/>
              </w:rPr>
              <w:t xml:space="preserve">, но не более 3550, </w:t>
            </w:r>
            <w:r>
              <w:rPr>
                <w:rFonts w:hint="default" w:ascii="Times New Roman" w:hAnsi="Times New Roman" w:eastAsia="Times New Roman"/>
                <w:sz w:val="16"/>
                <w:szCs w:val="16"/>
              </w:rPr>
              <w:t>где n - количество операций по лицевому счету зарег</w:t>
            </w:r>
            <w:r>
              <w:rPr>
                <w:rFonts w:hint="default" w:eastAsia="Times New Roman"/>
                <w:sz w:val="16"/>
                <w:szCs w:val="16"/>
                <w:lang w:val="ru-RU"/>
              </w:rPr>
              <w:t xml:space="preserve">. </w:t>
            </w:r>
            <w:r>
              <w:rPr>
                <w:rFonts w:hint="default" w:ascii="Times New Roman" w:hAnsi="Times New Roman" w:eastAsia="Times New Roman"/>
                <w:sz w:val="16"/>
                <w:szCs w:val="16"/>
              </w:rPr>
              <w:t xml:space="preserve">лица, в отношении которых предоставляется информация </w:t>
            </w:r>
          </w:p>
          <w:p w14:paraId="4C2942DF">
            <w:pPr>
              <w:spacing w:beforeLines="0" w:afterLines="0"/>
              <w:jc w:val="center"/>
              <w:rPr>
                <w:rFonts w:hint="default" w:ascii="Times New Roman" w:hAnsi="Times New Roman" w:eastAsia="Times New Roman"/>
                <w:sz w:val="16"/>
                <w:szCs w:val="16"/>
              </w:rPr>
            </w:pPr>
            <w:r>
              <w:rPr>
                <w:rFonts w:hint="default" w:ascii="Times New Roman" w:hAnsi="Times New Roman" w:eastAsia="Times New Roman"/>
                <w:sz w:val="16"/>
                <w:szCs w:val="16"/>
              </w:rPr>
              <w:t>из реестра, но не менее 1</w:t>
            </w:r>
          </w:p>
          <w:p w14:paraId="3EFAD873">
            <w:pPr>
              <w:spacing w:beforeLines="0" w:afterLines="0"/>
              <w:jc w:val="center"/>
              <w:rPr>
                <w:rFonts w:hint="default" w:eastAsia="Times New Roman"/>
                <w:sz w:val="20"/>
                <w:szCs w:val="24"/>
                <w:lang w:val="ru-RU"/>
              </w:rPr>
            </w:pPr>
          </w:p>
          <w:p w14:paraId="53FF0214">
            <w:pPr>
              <w:spacing w:beforeLines="0" w:afterLines="0"/>
              <w:jc w:val="center"/>
              <w:rPr>
                <w:rFonts w:hint="default" w:ascii="Times New Roman" w:hAnsi="Times New Roman" w:eastAsia="Times New Roman"/>
                <w:sz w:val="20"/>
                <w:szCs w:val="24"/>
              </w:rPr>
            </w:pPr>
            <w:r>
              <w:rPr>
                <w:rFonts w:hint="default" w:eastAsia="Times New Roman"/>
                <w:sz w:val="20"/>
                <w:szCs w:val="24"/>
                <w:lang w:val="ru-RU"/>
              </w:rPr>
              <w:t>(350+70*(</w:t>
            </w:r>
            <w:r>
              <w:rPr>
                <w:rFonts w:hint="default" w:eastAsia="Times New Roman"/>
                <w:sz w:val="20"/>
                <w:szCs w:val="24"/>
                <w:lang w:val="en-US"/>
              </w:rPr>
              <w:t>n-1</w:t>
            </w:r>
            <w:r>
              <w:rPr>
                <w:rFonts w:hint="default" w:eastAsia="Times New Roman"/>
                <w:sz w:val="20"/>
                <w:szCs w:val="24"/>
                <w:lang w:val="ru-RU"/>
              </w:rPr>
              <w:t>))*0,5</w:t>
            </w:r>
            <w:r>
              <w:rPr>
                <w:rFonts w:hint="default" w:ascii="Times New Roman" w:hAnsi="Times New Roman" w:eastAsia="Times New Roman"/>
                <w:sz w:val="20"/>
                <w:szCs w:val="24"/>
              </w:rPr>
              <w:t xml:space="preserve">, но не более </w:t>
            </w:r>
            <w:r>
              <w:rPr>
                <w:rFonts w:hint="default" w:eastAsia="Times New Roman"/>
                <w:sz w:val="20"/>
                <w:szCs w:val="24"/>
                <w:lang w:val="ru-RU"/>
              </w:rPr>
              <w:t>1 775</w:t>
            </w:r>
            <w:r>
              <w:rPr>
                <w:rFonts w:hint="default" w:ascii="Times New Roman" w:hAnsi="Times New Roman" w:eastAsia="Times New Roman"/>
                <w:sz w:val="20"/>
                <w:szCs w:val="24"/>
              </w:rPr>
              <w:t>,</w:t>
            </w:r>
          </w:p>
          <w:p w14:paraId="347A40B2">
            <w:pPr>
              <w:spacing w:beforeLines="0" w:afterLines="0"/>
              <w:jc w:val="center"/>
              <w:rPr>
                <w:rFonts w:hint="default" w:ascii="Times New Roman" w:hAnsi="Times New Roman" w:eastAsia="Times New Roman"/>
                <w:sz w:val="16"/>
                <w:szCs w:val="16"/>
              </w:rPr>
            </w:pPr>
            <w:r>
              <w:rPr>
                <w:rFonts w:hint="default" w:ascii="Times New Roman" w:hAnsi="Times New Roman" w:eastAsia="Times New Roman"/>
                <w:sz w:val="16"/>
                <w:szCs w:val="16"/>
              </w:rPr>
              <w:t>где n - количество операций по лицевому счету зарег</w:t>
            </w:r>
            <w:r>
              <w:rPr>
                <w:rFonts w:hint="default" w:eastAsia="Times New Roman"/>
                <w:sz w:val="16"/>
                <w:szCs w:val="16"/>
                <w:lang w:val="ru-RU"/>
              </w:rPr>
              <w:t xml:space="preserve">. </w:t>
            </w:r>
            <w:r>
              <w:rPr>
                <w:rFonts w:hint="default" w:ascii="Times New Roman" w:hAnsi="Times New Roman" w:eastAsia="Times New Roman"/>
                <w:sz w:val="16"/>
                <w:szCs w:val="16"/>
              </w:rPr>
              <w:t xml:space="preserve">лица, в отношении которых предоставляется информация </w:t>
            </w:r>
          </w:p>
          <w:p w14:paraId="7B7604E7">
            <w:pPr>
              <w:spacing w:beforeLines="0" w:afterLines="0"/>
              <w:jc w:val="center"/>
            </w:pPr>
            <w:r>
              <w:rPr>
                <w:rFonts w:hint="default" w:ascii="Times New Roman" w:hAnsi="Times New Roman" w:eastAsia="Times New Roman"/>
                <w:sz w:val="16"/>
                <w:szCs w:val="16"/>
              </w:rPr>
              <w:t>из реестра, но не менее 1</w:t>
            </w:r>
          </w:p>
        </w:tc>
      </w:tr>
      <w:tr w14:paraId="34A78D3A">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5A29A2CE">
            <w:pPr>
              <w:bidi w:val="0"/>
              <w:ind w:left="0" w:right="0" w:firstLine="0"/>
              <w:jc w:val="right"/>
              <w:rPr>
                <w:highlight w:val="none"/>
              </w:rPr>
            </w:pPr>
            <w:r>
              <w:rPr>
                <w:b/>
                <w:bCs/>
                <w:highlight w:val="none"/>
              </w:rPr>
              <w:t>1</w:t>
            </w:r>
            <w:r>
              <w:rPr>
                <w:rFonts w:hint="default"/>
                <w:b/>
                <w:bCs/>
                <w:highlight w:val="none"/>
                <w:lang w:val="ru-RU"/>
              </w:rPr>
              <w:t>7</w:t>
            </w:r>
            <w:r>
              <w:rPr>
                <w:b/>
                <w:bCs/>
                <w:highlight w:val="none"/>
              </w:rPr>
              <w:t>.</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486BCCC5">
            <w:pPr>
              <w:bidi w:val="0"/>
              <w:ind w:left="0" w:right="0" w:firstLine="0"/>
              <w:jc w:val="left"/>
              <w:rPr>
                <w:rFonts w:hint="default"/>
                <w:b/>
                <w:bCs/>
                <w:highlight w:val="none"/>
                <w:lang w:val="ru-RU"/>
              </w:rPr>
            </w:pPr>
            <w:r>
              <w:rPr>
                <w:b/>
                <w:bCs/>
                <w:highlight w:val="none"/>
              </w:rPr>
              <w:t xml:space="preserve">Предоставление уведомления (отчета) о </w:t>
            </w:r>
            <w:r>
              <w:rPr>
                <w:b/>
                <w:bCs/>
                <w:highlight w:val="none"/>
                <w:lang w:val="ru-RU"/>
              </w:rPr>
              <w:t>совершении</w:t>
            </w:r>
            <w:r>
              <w:rPr>
                <w:rFonts w:hint="default"/>
                <w:b/>
                <w:bCs/>
                <w:highlight w:val="none"/>
                <w:lang w:val="ru-RU"/>
              </w:rPr>
              <w:t xml:space="preserve"> </w:t>
            </w:r>
            <w:r>
              <w:rPr>
                <w:b/>
                <w:bCs/>
                <w:highlight w:val="none"/>
              </w:rPr>
              <w:t xml:space="preserve">операции </w:t>
            </w:r>
            <w:r>
              <w:rPr>
                <w:b/>
                <w:bCs/>
                <w:highlight w:val="none"/>
                <w:lang w:val="ru-RU"/>
              </w:rPr>
              <w:t>по</w:t>
            </w:r>
            <w:r>
              <w:rPr>
                <w:rFonts w:hint="default"/>
                <w:b/>
                <w:bCs/>
                <w:highlight w:val="none"/>
                <w:lang w:val="ru-RU"/>
              </w:rPr>
              <w:t xml:space="preserve"> лицевому счету </w:t>
            </w:r>
          </w:p>
          <w:p w14:paraId="5E0D8064">
            <w:pPr>
              <w:bidi w:val="0"/>
              <w:ind w:left="0" w:right="0" w:firstLine="0"/>
              <w:jc w:val="both"/>
              <w:rPr>
                <w:rFonts w:hint="default"/>
                <w:b/>
                <w:bCs/>
                <w:highlight w:val="none"/>
                <w:lang w:val="ru-RU"/>
              </w:rPr>
            </w:pPr>
            <w:r>
              <w:rPr>
                <w:rFonts w:hint="default"/>
                <w:b w:val="0"/>
                <w:bCs w:val="0"/>
                <w:highlight w:val="none"/>
                <w:lang w:val="ru-RU"/>
              </w:rPr>
              <w:t>на бумажном носителе</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619B4C49">
            <w:pPr>
              <w:bidi w:val="0"/>
              <w:ind w:left="0" w:right="0" w:firstLine="0"/>
              <w:jc w:val="right"/>
              <w:rPr>
                <w:rFonts w:hint="default" w:ascii="Times New Roman" w:hAnsi="Times New Roman"/>
                <w:highlight w:val="yellow"/>
                <w:lang w:val="ru-RU"/>
              </w:rPr>
            </w:pPr>
            <w:r>
              <w:rPr>
                <w:rFonts w:hint="default"/>
                <w:highlight w:val="none"/>
                <w:lang w:val="ru-RU"/>
              </w:rPr>
              <w:t>350</w:t>
            </w:r>
          </w:p>
          <w:p w14:paraId="735D6C22">
            <w:pPr>
              <w:bidi w:val="0"/>
              <w:ind w:left="0" w:right="0" w:firstLine="0"/>
              <w:jc w:val="right"/>
              <w:rPr>
                <w:highlight w:val="yellow"/>
              </w:rPr>
            </w:pPr>
          </w:p>
        </w:tc>
      </w:tr>
      <w:tr w14:paraId="4419F3DE">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0C438253">
            <w:pPr>
              <w:bidi w:val="0"/>
              <w:ind w:left="0" w:right="0" w:firstLine="0"/>
              <w:jc w:val="right"/>
            </w:pPr>
            <w:r>
              <w:rPr>
                <w:b/>
                <w:bCs/>
              </w:rPr>
              <w:t>1</w:t>
            </w:r>
            <w:r>
              <w:rPr>
                <w:rFonts w:hint="default"/>
                <w:b/>
                <w:bCs/>
                <w:lang w:val="ru-RU"/>
              </w:rPr>
              <w:t>8</w:t>
            </w:r>
            <w:r>
              <w:rPr>
                <w:b/>
                <w:bCs/>
              </w:rPr>
              <w:t>.</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BEBF9E9">
            <w:pPr>
              <w:bidi w:val="0"/>
              <w:ind w:left="0" w:right="0" w:firstLine="0"/>
              <w:jc w:val="both"/>
            </w:pPr>
            <w:r>
              <w:rPr>
                <w:b/>
                <w:bCs/>
              </w:rPr>
              <w:t>Предоставление справки по лицевому счету номинального держателя в целях проведения сверки в соответствии с требованиями статьи 8.5. ФЗ от 22.04.1996 г. № 39-ФЗ «О рынке ценных бумаг»</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15711094">
            <w:pPr>
              <w:bidi w:val="0"/>
              <w:ind w:left="0" w:right="0" w:firstLine="0"/>
              <w:jc w:val="right"/>
            </w:pPr>
            <w:r>
              <w:t>Бесплатно</w:t>
            </w:r>
          </w:p>
        </w:tc>
      </w:tr>
      <w:tr w14:paraId="2C8F6314">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23308E42">
            <w:pPr>
              <w:bidi w:val="0"/>
              <w:ind w:left="0" w:right="0" w:firstLine="0"/>
              <w:jc w:val="right"/>
            </w:pPr>
            <w:r>
              <w:rPr>
                <w:b/>
                <w:bCs/>
              </w:rPr>
              <w:t>1</w:t>
            </w:r>
            <w:r>
              <w:rPr>
                <w:rFonts w:hint="default"/>
                <w:b/>
                <w:bCs/>
                <w:lang w:val="ru-RU"/>
              </w:rPr>
              <w:t>9</w:t>
            </w:r>
            <w:r>
              <w:rPr>
                <w:b/>
                <w:bCs/>
              </w:rPr>
              <w:t>.</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5F62D003">
            <w:pPr>
              <w:bidi w:val="0"/>
              <w:ind w:left="0" w:right="0" w:firstLine="0"/>
              <w:jc w:val="both"/>
              <w:rPr>
                <w:b/>
                <w:bCs/>
              </w:rPr>
            </w:pPr>
            <w:r>
              <w:rPr>
                <w:b/>
                <w:bCs/>
              </w:rPr>
              <w:t>Предоставление зарегистрированному лицу, на лицевом счете которого учитывается более одного процента голосующих акций эмитента, информации из реестра об имени (наименовании) зарегистрированных лиц и о количестве акций каждой категории (каждого типа), учитываемых на их лицевых счетах</w:t>
            </w:r>
          </w:p>
          <w:p w14:paraId="48EBF115">
            <w:pPr>
              <w:bidi w:val="0"/>
              <w:ind w:left="0" w:right="0" w:firstLine="0"/>
              <w:rPr>
                <w:rFonts w:ascii="Times New Roman" w:hAnsi="Times New Roman"/>
                <w:bCs/>
              </w:rPr>
            </w:pPr>
            <w:r>
              <w:rPr>
                <w:bCs/>
              </w:rPr>
              <w:t>на бумажном носителе</w:t>
            </w:r>
          </w:p>
          <w:p w14:paraId="35F1E53A">
            <w:pPr>
              <w:bidi w:val="0"/>
              <w:ind w:left="0" w:right="0" w:firstLine="0"/>
              <w:jc w:val="both"/>
              <w:rPr>
                <w:bCs/>
              </w:rPr>
            </w:pPr>
          </w:p>
          <w:p w14:paraId="59DD04CD">
            <w:pPr>
              <w:bidi w:val="0"/>
              <w:ind w:left="0" w:right="0" w:firstLine="0"/>
              <w:jc w:val="both"/>
              <w:rPr>
                <w:bCs/>
              </w:rPr>
            </w:pPr>
          </w:p>
          <w:p w14:paraId="4A1F9519">
            <w:pPr>
              <w:bidi w:val="0"/>
              <w:ind w:left="0" w:right="0" w:firstLine="0"/>
              <w:jc w:val="both"/>
              <w:rPr>
                <w:bCs/>
              </w:rPr>
            </w:pPr>
          </w:p>
          <w:p w14:paraId="506F250F">
            <w:pPr>
              <w:bidi w:val="0"/>
              <w:ind w:left="0" w:right="0" w:firstLine="0"/>
              <w:jc w:val="both"/>
              <w:rPr>
                <w:bCs/>
              </w:rPr>
            </w:pPr>
          </w:p>
          <w:p w14:paraId="3060CE0F">
            <w:pPr>
              <w:bidi w:val="0"/>
              <w:ind w:left="0" w:right="0" w:firstLine="0"/>
              <w:jc w:val="both"/>
              <w:rPr>
                <w:bCs/>
              </w:rPr>
            </w:pPr>
          </w:p>
          <w:p w14:paraId="53F5C698">
            <w:pPr>
              <w:bidi w:val="0"/>
              <w:ind w:left="0" w:right="0" w:firstLine="0"/>
              <w:jc w:val="both"/>
              <w:rPr>
                <w:bCs/>
              </w:rPr>
            </w:pPr>
          </w:p>
          <w:p w14:paraId="0E197C78">
            <w:pPr>
              <w:bidi w:val="0"/>
              <w:ind w:left="0" w:right="0" w:firstLine="0"/>
              <w:jc w:val="both"/>
              <w:rPr>
                <w:bCs/>
              </w:rPr>
            </w:pPr>
          </w:p>
          <w:p w14:paraId="692A215C">
            <w:pPr>
              <w:bidi w:val="0"/>
              <w:ind w:left="0" w:right="0" w:firstLine="0"/>
              <w:jc w:val="both"/>
              <w:rPr>
                <w:rFonts w:ascii="Times New Roman" w:hAnsi="Times New Roman"/>
                <w:bCs/>
              </w:rPr>
            </w:pPr>
            <w:r>
              <w:rPr>
                <w:bCs/>
              </w:rPr>
              <w:t xml:space="preserve">в форме электронного документа </w:t>
            </w:r>
          </w:p>
          <w:p w14:paraId="0710BFA2">
            <w:pPr>
              <w:bidi w:val="0"/>
              <w:ind w:left="0" w:right="0" w:firstLine="0"/>
              <w:jc w:val="both"/>
              <w:rPr>
                <w:b/>
                <w:bCs/>
              </w:rPr>
            </w:pP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36CC64FA">
            <w:pPr>
              <w:spacing w:beforeLines="0" w:afterLines="0"/>
              <w:jc w:val="center"/>
              <w:rPr>
                <w:rFonts w:hint="default" w:eastAsia="Times New Roman"/>
                <w:sz w:val="20"/>
                <w:szCs w:val="24"/>
                <w:lang w:val="ru-RU"/>
              </w:rPr>
            </w:pPr>
          </w:p>
          <w:p w14:paraId="11DC47FE">
            <w:pPr>
              <w:spacing w:beforeLines="0" w:afterLines="0"/>
              <w:jc w:val="center"/>
              <w:rPr>
                <w:rFonts w:hint="default" w:eastAsia="Times New Roman"/>
                <w:sz w:val="20"/>
                <w:szCs w:val="24"/>
                <w:lang w:val="ru-RU"/>
              </w:rPr>
            </w:pPr>
          </w:p>
          <w:p w14:paraId="51CD532C">
            <w:pPr>
              <w:spacing w:beforeLines="0" w:afterLines="0"/>
              <w:jc w:val="center"/>
              <w:rPr>
                <w:rFonts w:hint="default" w:eastAsia="Times New Roman"/>
                <w:sz w:val="20"/>
                <w:szCs w:val="24"/>
                <w:lang w:val="ru-RU"/>
              </w:rPr>
            </w:pPr>
          </w:p>
          <w:p w14:paraId="24E2E617">
            <w:pPr>
              <w:spacing w:beforeLines="0" w:afterLines="0"/>
              <w:jc w:val="center"/>
              <w:rPr>
                <w:rFonts w:hint="default" w:eastAsia="Times New Roman"/>
                <w:sz w:val="20"/>
                <w:szCs w:val="24"/>
                <w:lang w:val="ru-RU"/>
              </w:rPr>
            </w:pPr>
          </w:p>
          <w:p w14:paraId="2F831547">
            <w:pPr>
              <w:spacing w:beforeLines="0" w:afterLines="0"/>
              <w:jc w:val="center"/>
              <w:rPr>
                <w:rFonts w:hint="default" w:ascii="Times New Roman" w:hAnsi="Times New Roman" w:eastAsia="Times New Roman"/>
                <w:sz w:val="20"/>
                <w:szCs w:val="24"/>
              </w:rPr>
            </w:pPr>
            <w:r>
              <w:rPr>
                <w:rFonts w:hint="default" w:eastAsia="Times New Roman"/>
                <w:sz w:val="20"/>
                <w:szCs w:val="24"/>
                <w:lang w:val="ru-RU"/>
              </w:rPr>
              <w:t>10 000 + 1,25*(</w:t>
            </w:r>
            <w:r>
              <w:rPr>
                <w:rFonts w:hint="default" w:eastAsia="Times New Roman"/>
                <w:sz w:val="20"/>
                <w:szCs w:val="24"/>
                <w:lang w:val="en-US"/>
              </w:rPr>
              <w:t>n-1</w:t>
            </w:r>
            <w:r>
              <w:rPr>
                <w:rFonts w:hint="default" w:eastAsia="Times New Roman"/>
                <w:sz w:val="20"/>
                <w:szCs w:val="24"/>
                <w:lang w:val="ru-RU"/>
              </w:rPr>
              <w:t>)</w:t>
            </w:r>
            <w:r>
              <w:rPr>
                <w:rFonts w:hint="default" w:ascii="Times New Roman" w:hAnsi="Times New Roman" w:eastAsia="Times New Roman"/>
                <w:sz w:val="20"/>
                <w:szCs w:val="24"/>
              </w:rPr>
              <w:t>,</w:t>
            </w:r>
          </w:p>
          <w:p w14:paraId="13AA98EE">
            <w:pPr>
              <w:spacing w:beforeLines="0" w:afterLines="0"/>
              <w:jc w:val="center"/>
              <w:rPr>
                <w:rFonts w:hint="default" w:ascii="Times New Roman" w:hAnsi="Times New Roman" w:eastAsia="Times New Roman"/>
                <w:b w:val="0"/>
                <w:bCs/>
                <w:sz w:val="16"/>
                <w:szCs w:val="16"/>
              </w:rPr>
            </w:pPr>
            <w:r>
              <w:rPr>
                <w:rFonts w:hint="default" w:ascii="Times New Roman" w:hAnsi="Times New Roman" w:eastAsia="Times New Roman"/>
                <w:b w:val="0"/>
                <w:bCs/>
                <w:sz w:val="16"/>
                <w:szCs w:val="16"/>
              </w:rPr>
              <w:t>где n - количество зарегистрированных лиц, в отношении которых предоставляется информация из реестра</w:t>
            </w:r>
          </w:p>
          <w:p w14:paraId="679DBDCA">
            <w:pPr>
              <w:spacing w:beforeLines="0" w:afterLines="0"/>
              <w:jc w:val="center"/>
              <w:rPr>
                <w:rFonts w:hint="default" w:ascii="Times New Roman" w:hAnsi="Times New Roman" w:eastAsia="Times New Roman"/>
                <w:b w:val="0"/>
                <w:bCs/>
                <w:sz w:val="16"/>
                <w:szCs w:val="16"/>
              </w:rPr>
            </w:pPr>
          </w:p>
          <w:p w14:paraId="0D0DE386">
            <w:pPr>
              <w:spacing w:beforeLines="0" w:afterLines="0"/>
              <w:jc w:val="center"/>
              <w:rPr>
                <w:rFonts w:hint="default" w:ascii="Times New Roman" w:hAnsi="Times New Roman" w:eastAsia="Times New Roman"/>
                <w:sz w:val="20"/>
                <w:szCs w:val="24"/>
              </w:rPr>
            </w:pPr>
            <w:r>
              <w:rPr>
                <w:rFonts w:hint="default" w:eastAsia="Times New Roman"/>
                <w:sz w:val="20"/>
                <w:szCs w:val="24"/>
                <w:lang w:val="ru-RU"/>
              </w:rPr>
              <w:t>(10 000 + 1,25*(</w:t>
            </w:r>
            <w:r>
              <w:rPr>
                <w:rFonts w:hint="default" w:eastAsia="Times New Roman"/>
                <w:sz w:val="20"/>
                <w:szCs w:val="24"/>
                <w:lang w:val="en-US"/>
              </w:rPr>
              <w:t>n-1</w:t>
            </w:r>
            <w:r>
              <w:rPr>
                <w:rFonts w:hint="default" w:eastAsia="Times New Roman"/>
                <w:sz w:val="20"/>
                <w:szCs w:val="24"/>
                <w:lang w:val="ru-RU"/>
              </w:rPr>
              <w:t>))* 0,5</w:t>
            </w:r>
            <w:r>
              <w:rPr>
                <w:rFonts w:hint="default" w:ascii="Times New Roman" w:hAnsi="Times New Roman" w:eastAsia="Times New Roman"/>
                <w:sz w:val="20"/>
                <w:szCs w:val="24"/>
              </w:rPr>
              <w:t>,</w:t>
            </w:r>
          </w:p>
          <w:p w14:paraId="5944AB8B">
            <w:pPr>
              <w:spacing w:beforeLines="0" w:afterLines="0"/>
              <w:jc w:val="center"/>
              <w:rPr>
                <w:rFonts w:hint="default" w:ascii="Times New Roman" w:hAnsi="Times New Roman" w:eastAsia="Times New Roman"/>
                <w:b w:val="0"/>
                <w:bCs/>
                <w:sz w:val="16"/>
                <w:szCs w:val="16"/>
              </w:rPr>
            </w:pPr>
            <w:r>
              <w:rPr>
                <w:rFonts w:hint="default" w:ascii="Times New Roman" w:hAnsi="Times New Roman" w:eastAsia="Times New Roman"/>
                <w:b w:val="0"/>
                <w:bCs/>
                <w:sz w:val="16"/>
                <w:szCs w:val="16"/>
              </w:rPr>
              <w:t>где n - количество зарегистрированных лиц, в отношении которых предоставляется информация из реестра</w:t>
            </w:r>
          </w:p>
          <w:p w14:paraId="3DE95754">
            <w:pPr>
              <w:spacing w:beforeLines="0" w:afterLines="0"/>
              <w:jc w:val="center"/>
              <w:rPr>
                <w:rFonts w:hint="default" w:ascii="Times New Roman" w:hAnsi="Times New Roman" w:eastAsia="Times New Roman"/>
                <w:b w:val="0"/>
                <w:bCs/>
                <w:sz w:val="16"/>
                <w:szCs w:val="16"/>
              </w:rPr>
            </w:pPr>
          </w:p>
          <w:p w14:paraId="2F4DBAE8">
            <w:pPr>
              <w:bidi w:val="0"/>
              <w:ind w:left="0" w:right="0" w:firstLine="0"/>
              <w:jc w:val="right"/>
            </w:pPr>
          </w:p>
        </w:tc>
      </w:tr>
      <w:tr w14:paraId="10D35944">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200AC201">
            <w:pPr>
              <w:bidi w:val="0"/>
              <w:ind w:left="0" w:right="0" w:firstLine="0"/>
              <w:jc w:val="right"/>
              <w:rPr>
                <w:rFonts w:hint="default"/>
                <w:b/>
                <w:bCs/>
                <w:lang w:val="ru-RU"/>
              </w:rPr>
            </w:pPr>
            <w:r>
              <w:rPr>
                <w:rFonts w:hint="default"/>
                <w:b/>
                <w:bCs/>
                <w:lang w:val="ru-RU"/>
              </w:rPr>
              <w:t>20.</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35244CB0">
            <w:pPr>
              <w:bidi w:val="0"/>
              <w:ind w:left="0" w:right="0" w:firstLine="0"/>
              <w:jc w:val="both"/>
              <w:rPr>
                <w:rFonts w:hint="default"/>
                <w:lang w:val="ru-RU"/>
              </w:rPr>
            </w:pPr>
            <w:r>
              <w:rPr>
                <w:b/>
                <w:bCs/>
                <w:lang w:val="ru-RU"/>
              </w:rPr>
              <w:t>Предоставление</w:t>
            </w:r>
            <w:r>
              <w:rPr>
                <w:rFonts w:hint="default"/>
                <w:b/>
                <w:bCs/>
                <w:lang w:val="ru-RU"/>
              </w:rPr>
              <w:t xml:space="preserve"> информации в соответствии с требованиями пунктов 7.1.,7.2.,7.7.,7.8. Положения Банка России от 29.06.2022 № 799-П </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3291E427">
            <w:pPr>
              <w:bidi w:val="0"/>
              <w:ind w:left="0" w:right="0" w:firstLine="0"/>
              <w:jc w:val="right"/>
            </w:pPr>
            <w:r>
              <w:t>Бесплатно</w:t>
            </w:r>
          </w:p>
        </w:tc>
      </w:tr>
      <w:tr w14:paraId="4E526A9B">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55F19542">
            <w:pPr>
              <w:bidi w:val="0"/>
              <w:ind w:left="0" w:right="0" w:firstLine="0"/>
              <w:jc w:val="right"/>
              <w:rPr>
                <w:rFonts w:hint="default"/>
                <w:b/>
                <w:bCs/>
                <w:lang w:val="ru-RU"/>
              </w:rPr>
            </w:pPr>
            <w:r>
              <w:rPr>
                <w:rFonts w:hint="default"/>
                <w:b/>
                <w:bCs/>
                <w:lang w:val="ru-RU"/>
              </w:rPr>
              <w:t>21.</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6BE1B370">
            <w:pPr>
              <w:bidi w:val="0"/>
              <w:ind w:left="0" w:right="0" w:firstLine="0"/>
              <w:jc w:val="both"/>
              <w:rPr>
                <w:rFonts w:hint="default"/>
                <w:lang w:val="ru-RU"/>
              </w:rPr>
            </w:pPr>
            <w:r>
              <w:rPr>
                <w:b/>
                <w:bCs/>
                <w:lang w:val="ru-RU"/>
              </w:rPr>
              <w:t>Предоставление</w:t>
            </w:r>
            <w:r>
              <w:rPr>
                <w:rFonts w:hint="default"/>
                <w:b/>
                <w:bCs/>
                <w:lang w:val="ru-RU"/>
              </w:rPr>
              <w:t xml:space="preserve"> залогодержателю информации о правах залога на ценные бумаги, зафиксированных в его пользу </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6C0BAE51">
            <w:pPr>
              <w:bidi w:val="0"/>
              <w:ind w:left="0" w:right="0" w:firstLine="0"/>
              <w:jc w:val="right"/>
              <w:rPr>
                <w:rFonts w:hint="default"/>
                <w:lang w:val="ru-RU"/>
              </w:rPr>
            </w:pPr>
            <w:r>
              <w:rPr>
                <w:rFonts w:hint="default"/>
                <w:lang w:val="ru-RU"/>
              </w:rPr>
              <w:t>1000</w:t>
            </w:r>
          </w:p>
        </w:tc>
      </w:tr>
      <w:tr w14:paraId="179D39B8">
        <w:tblPrEx>
          <w:tblCellMar>
            <w:top w:w="0" w:type="dxa"/>
            <w:left w:w="70" w:type="dxa"/>
            <w:bottom w:w="0" w:type="dxa"/>
            <w:right w:w="70" w:type="dxa"/>
          </w:tblCellMar>
        </w:tblPrEx>
        <w:tc>
          <w:tcPr>
            <w:tcW w:w="645" w:type="dxa"/>
            <w:tcBorders>
              <w:top w:val="double" w:color="000000" w:sz="6" w:space="0"/>
              <w:left w:val="double" w:color="000000" w:sz="6" w:space="0"/>
              <w:bottom w:val="double" w:color="000000" w:sz="6" w:space="0"/>
              <w:right w:val="single" w:color="000000" w:sz="6" w:space="0"/>
            </w:tcBorders>
            <w:tcMar>
              <w:left w:w="71" w:type="dxa"/>
              <w:right w:w="71" w:type="dxa"/>
            </w:tcMar>
          </w:tcPr>
          <w:p w14:paraId="1B10285F">
            <w:pPr>
              <w:bidi w:val="0"/>
              <w:ind w:left="0" w:right="0" w:firstLine="0"/>
              <w:jc w:val="right"/>
            </w:pPr>
            <w:r>
              <w:rPr>
                <w:b/>
                <w:bCs/>
              </w:rPr>
              <w:t>2</w:t>
            </w:r>
            <w:r>
              <w:rPr>
                <w:rFonts w:hint="default"/>
                <w:b/>
                <w:bCs/>
                <w:lang w:val="ru-RU"/>
              </w:rPr>
              <w:t>2</w:t>
            </w:r>
            <w:r>
              <w:rPr>
                <w:b/>
                <w:bCs/>
              </w:rPr>
              <w:t>.</w:t>
            </w:r>
          </w:p>
        </w:tc>
        <w:tc>
          <w:tcPr>
            <w:tcW w:w="8066" w:type="dxa"/>
            <w:tcBorders>
              <w:top w:val="double" w:color="000000" w:sz="6" w:space="0"/>
              <w:left w:val="single" w:color="000000" w:sz="6" w:space="0"/>
              <w:bottom w:val="double" w:color="000000" w:sz="6" w:space="0"/>
              <w:right w:val="single" w:color="000000" w:sz="6" w:space="0"/>
            </w:tcBorders>
            <w:tcMar>
              <w:left w:w="71" w:type="dxa"/>
              <w:right w:w="71" w:type="dxa"/>
            </w:tcMar>
          </w:tcPr>
          <w:p w14:paraId="1F4CE72D">
            <w:pPr>
              <w:pStyle w:val="28"/>
              <w:bidi w:val="0"/>
              <w:ind w:left="0" w:right="0" w:firstLine="0"/>
              <w:jc w:val="both"/>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66" w:type="dxa"/>
            <w:tcBorders>
              <w:top w:val="double" w:color="000000" w:sz="6" w:space="0"/>
              <w:left w:val="single" w:color="000000" w:sz="6" w:space="0"/>
              <w:bottom w:val="double" w:color="000000" w:sz="6" w:space="0"/>
              <w:right w:val="double" w:color="000000" w:sz="6" w:space="0"/>
            </w:tcBorders>
            <w:tcMar>
              <w:left w:w="71" w:type="dxa"/>
              <w:right w:w="71" w:type="dxa"/>
            </w:tcMar>
            <w:vAlign w:val="bottom"/>
          </w:tcPr>
          <w:p w14:paraId="44EFBE3F">
            <w:pPr>
              <w:bidi w:val="0"/>
              <w:ind w:left="0" w:right="0" w:firstLine="0"/>
              <w:jc w:val="right"/>
            </w:pPr>
            <w:r>
              <w:rPr>
                <w:color w:val="000000"/>
                <w:sz w:val="20"/>
                <w:szCs w:val="20"/>
              </w:rPr>
              <w:t>500</w:t>
            </w:r>
          </w:p>
        </w:tc>
      </w:tr>
    </w:tbl>
    <w:p w14:paraId="2F7B1FF3">
      <w:pPr>
        <w:bidi w:val="0"/>
        <w:ind w:left="0" w:right="0" w:firstLine="0"/>
        <w:rPr>
          <w:rFonts w:ascii="Times New Roman" w:hAnsi="Times New Roman"/>
          <w:b/>
          <w:bCs/>
        </w:rPr>
      </w:pPr>
    </w:p>
    <w:p w14:paraId="3B4109F4">
      <w:pPr>
        <w:bidi w:val="0"/>
        <w:ind w:left="0" w:right="0" w:firstLine="708" w:firstLineChars="0"/>
        <w:jc w:val="both"/>
        <w:rPr>
          <w:rFonts w:hint="default"/>
          <w:bCs/>
          <w:lang w:val="ru-RU"/>
        </w:rPr>
      </w:pPr>
      <w:r>
        <w:rPr>
          <w:bCs/>
          <w:lang w:val="ru-RU"/>
        </w:rPr>
        <w:t>Держатель</w:t>
      </w:r>
      <w:r>
        <w:rPr>
          <w:rFonts w:hint="default"/>
          <w:bCs/>
          <w:lang w:val="ru-RU"/>
        </w:rPr>
        <w:t xml:space="preserve"> реестра о</w:t>
      </w:r>
      <w:r>
        <w:rPr>
          <w:bCs/>
          <w:lang w:val="ru-RU"/>
        </w:rPr>
        <w:t>дин</w:t>
      </w:r>
      <w:r>
        <w:rPr>
          <w:rFonts w:hint="default"/>
          <w:bCs/>
          <w:lang w:val="ru-RU"/>
        </w:rPr>
        <w:t xml:space="preserve"> раз в календарный год (период времени с 1 января по 31 декабря)</w:t>
      </w:r>
      <w:r>
        <w:rPr>
          <w:rFonts w:ascii="SimSun" w:hAnsi="SimSun" w:eastAsia="SimSun" w:cs="SimSun"/>
          <w:sz w:val="24"/>
          <w:szCs w:val="24"/>
        </w:rPr>
        <w:t xml:space="preserve"> </w:t>
      </w:r>
      <w:r>
        <w:rPr>
          <w:rFonts w:hint="default"/>
          <w:bCs/>
          <w:lang w:val="ru-RU"/>
        </w:rPr>
        <w:t xml:space="preserve">бесплатно предоставляет зарегистрированному лицу по его обращению информацию о ценных бумагах, учитываемых на открытом ему лицевом счёте, и операциях по указанному лицевому счёту за период ведения реестра АО «Регистратор Интрако». </w:t>
      </w:r>
    </w:p>
    <w:p w14:paraId="776DF422">
      <w:pPr>
        <w:bidi w:val="0"/>
        <w:ind w:left="0" w:right="0" w:firstLine="708" w:firstLineChars="0"/>
        <w:jc w:val="both"/>
        <w:rPr>
          <w:rFonts w:ascii="Times New Roman" w:hAnsi="Times New Roman"/>
          <w:bCs/>
        </w:rPr>
      </w:pPr>
      <w:r>
        <w:rPr>
          <w:bCs/>
        </w:rPr>
        <w:t xml:space="preserve">Прочие услуги, оказываемые  регистратором в соответствии с лицензией, предоставляются за плату, установленную по соглашению сторон.  </w:t>
      </w:r>
    </w:p>
    <w:p w14:paraId="10DFB41B">
      <w:pPr>
        <w:bidi w:val="0"/>
        <w:ind w:left="0" w:right="0" w:firstLine="708" w:firstLineChars="0"/>
        <w:jc w:val="both"/>
        <w:rPr>
          <w:rFonts w:ascii="Times New Roman" w:hAnsi="Times New Roman"/>
          <w:bCs/>
        </w:rPr>
      </w:pPr>
      <w:r>
        <w:rPr>
          <w:bCs/>
        </w:rPr>
        <w:t>Услуга оказывается регистратором после оплаты заинтересованным лицом  стоимости услуги в соответствии с настоящим Прейскурантом.</w:t>
      </w:r>
    </w:p>
    <w:p w14:paraId="5224E89B">
      <w:pPr>
        <w:bidi w:val="0"/>
        <w:ind w:left="0" w:right="0" w:firstLine="0"/>
        <w:jc w:val="both"/>
        <w:rPr>
          <w:rFonts w:ascii="Times New Roman" w:hAnsi="Times New Roman"/>
          <w:bCs/>
        </w:rPr>
      </w:pPr>
    </w:p>
    <w:p w14:paraId="50B43B0D">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ПАО «Инвестиционная компания «Ермак», ПАО «Инвестиционный фонд «Защита» и ПАО «Инвестиционный фонд «Детство-1» приведена в Прейскуранте № 2.  </w:t>
      </w:r>
    </w:p>
    <w:p w14:paraId="3AF5C0F2">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ОАО «Научно-исследовательский институт систем автоматизации», ЗАО «ТЕХНОИНВЕСТ АЛЬЯНС», приведена в Прейскуранте № 4.  </w:t>
      </w:r>
    </w:p>
    <w:p w14:paraId="30AA7493">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АО «Пермский облунивермаг», АО «Торговый центр на Ленина,45», АО «Универсам СЕМЬЯ», АО «Торговый центр» приведена  в Прейскуранте № 5.  </w:t>
      </w:r>
    </w:p>
    <w:p w14:paraId="4D5BF89D">
      <w:pPr>
        <w:bidi w:val="0"/>
        <w:ind w:left="0" w:right="0" w:firstLine="0"/>
        <w:jc w:val="both"/>
        <w:rPr>
          <w:rFonts w:ascii="Times New Roman" w:hAnsi="Times New Roman"/>
          <w:bCs/>
          <w:sz w:val="16"/>
          <w:szCs w:val="16"/>
        </w:rPr>
      </w:pPr>
      <w:r>
        <w:rPr>
          <w:bCs/>
          <w:sz w:val="16"/>
          <w:szCs w:val="16"/>
        </w:rPr>
        <w:t xml:space="preserve">Стоимость услуг, предоставляемых зарегистрированным лицам в реестрах АО "Корпорация развития малого и среднего предпринимательства Пермского края", АО "Микрофинансовая компания предпринимательского финансирования Пермского края", ОАО "Комплексный расчетный центр-Прикамье", АО «Международный аэропорт «Пермь»  приведена в Прейскуранте № 6.  </w:t>
      </w:r>
    </w:p>
    <w:p w14:paraId="50E68C48">
      <w:pPr>
        <w:bidi w:val="0"/>
        <w:ind w:left="0" w:right="0" w:firstLine="0"/>
        <w:jc w:val="both"/>
        <w:rPr>
          <w:rFonts w:ascii="Times New Roman" w:hAnsi="Times New Roman"/>
        </w:rPr>
      </w:pPr>
      <w:r>
        <w:rPr>
          <w:bCs/>
          <w:sz w:val="16"/>
          <w:szCs w:val="16"/>
        </w:rPr>
        <w:t>Стоимость услуг, предоставляемых зарегистрированным лицам в реестре АО «Сургутинвестнефть»  приведена в Прейскуранте  № 7.</w:t>
      </w:r>
      <w:r>
        <w:t xml:space="preserve"> </w:t>
      </w:r>
    </w:p>
    <w:p w14:paraId="6D1E3F59">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КБ «ЮНИСТРИМ»  приведена в Прейскуранте  № 8.</w:t>
      </w:r>
    </w:p>
    <w:p w14:paraId="4601A836">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«Земля Сергачская», АО «Мордовспецстрой», приведена в Прейскуранте  № 9.</w:t>
      </w:r>
    </w:p>
    <w:p w14:paraId="15315048">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«Карбокам»  приведена в Прейскуранте  № 10.</w:t>
      </w:r>
    </w:p>
    <w:p w14:paraId="7A37D16D">
      <w:pPr>
        <w:bidi w:val="0"/>
        <w:ind w:left="0" w:right="0" w:firstLine="0"/>
        <w:jc w:val="both"/>
        <w:rPr>
          <w:rFonts w:ascii="Times New Roman" w:hAnsi="Times New Roman"/>
          <w:bCs/>
          <w:sz w:val="16"/>
          <w:szCs w:val="16"/>
        </w:rPr>
      </w:pPr>
      <w:r>
        <w:rPr>
          <w:bCs/>
          <w:sz w:val="16"/>
          <w:szCs w:val="16"/>
        </w:rPr>
        <w:t>Стоимость услуг, предоставляемых зарегистрированным лицам в реестре  АО «ДЗМО»  приведена в Прейскуранте  № 11.</w:t>
      </w:r>
    </w:p>
    <w:sectPr>
      <w:endnotePr>
        <w:numFmt w:val="decimal"/>
      </w:endnotePr>
      <w:pgSz w:w="11906" w:h="16838"/>
      <w:pgMar w:top="357" w:right="454" w:bottom="318" w:left="1134" w:header="0" w:footer="0" w:gutter="0"/>
      <w:pgNumType w:fmt="decimal"/>
      <w:cols w:space="720" w:num="1"/>
      <w:formProt w:val="0"/>
      <w:docGrid w:linePitch="10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r>
        <w:separator/>
      </w:r>
    </w:p>
  </w:endnote>
  <w:endnote w:type="continuationSeparator" w:id="7">
    <w:p>
      <w:r>
        <w:continuationSeparator/>
      </w:r>
    </w:p>
  </w:endnote>
  <w:endnote w:id="0">
    <w:p w14:paraId="04FB1F1A">
      <w:pPr>
        <w:pStyle w:val="7"/>
        <w:snapToGrid w:val="0"/>
      </w:pPr>
      <w:r>
        <w:rPr>
          <w:rStyle w:val="5"/>
        </w:rPr>
        <w:endnoteRef/>
      </w:r>
      <w:r>
        <w:t xml:space="preserve"> </w:t>
      </w:r>
      <w:r>
        <w:rPr>
          <w:bCs/>
        </w:rPr>
        <w:t>НДС не облагается согласно ст. 149 Налогового кодекса Российской Федерации</w:t>
      </w:r>
    </w:p>
  </w:endnote>
  <w:endnote w:id="1">
    <w:p w14:paraId="762BBDF6">
      <w:pPr>
        <w:pStyle w:val="7"/>
        <w:snapToGrid w:val="0"/>
        <w:jc w:val="both"/>
      </w:pPr>
      <w:r>
        <w:rPr>
          <w:rStyle w:val="5"/>
        </w:rPr>
        <w:endnoteRef/>
      </w:r>
      <w:r>
        <w:t xml:space="preserve"> Стоимость ценных бумаг определяется регистратором исходя из количества списываемых с лицевого счета ценных бумаг и рыночной цены ценной бумаги, определенной в порядке, установленном для определения налоговой базы по налогу на доходы физических лиц в соответствии с главой 23 Налогового кодекса Российской Федерации.  В случае если рыночная цена ценной бумаги не определена, стоимость ценных бумаг  определяется как произведение номинальной стоимости указанных ценных бумаг на их количество.</w:t>
      </w:r>
    </w:p>
  </w:endnote>
  <w:endnote w:id="2">
    <w:p w14:paraId="757BE316">
      <w:pPr>
        <w:spacing w:beforeLines="0" w:afterLines="0"/>
        <w:jc w:val="both"/>
        <w:rPr>
          <w:rFonts w:hint="default" w:ascii="Times New Roman" w:hAnsi="Times New Roman" w:eastAsia="Times New Roman"/>
          <w:sz w:val="20"/>
          <w:szCs w:val="24"/>
        </w:rPr>
      </w:pPr>
      <w:r>
        <w:rPr>
          <w:rStyle w:val="5"/>
        </w:rPr>
        <w:endnoteRef/>
      </w:r>
      <w:r>
        <w:t xml:space="preserve"> </w:t>
      </w:r>
      <w:r>
        <w:rPr>
          <w:rFonts w:hint="default"/>
          <w:lang w:val="ru-RU"/>
        </w:rPr>
        <w:t xml:space="preserve">Стоимость ценных бумаг определяется </w:t>
      </w:r>
      <w:r>
        <w:rPr>
          <w:rFonts w:hint="default" w:ascii="Times New Roman" w:hAnsi="Times New Roman" w:eastAsia="Times New Roman"/>
          <w:sz w:val="20"/>
          <w:szCs w:val="24"/>
        </w:rPr>
        <w:t xml:space="preserve">в соответствии с требованиями </w:t>
      </w:r>
      <w:r>
        <w:rPr>
          <w:rFonts w:hint="default" w:ascii="Times New Roman" w:hAnsi="Times New Roman" w:eastAsia="Times New Roman"/>
          <w:color w:val="auto"/>
          <w:sz w:val="20"/>
          <w:szCs w:val="24"/>
        </w:rPr>
        <w:fldChar w:fldCharType="begin"/>
      </w:r>
      <w:r>
        <w:rPr>
          <w:rFonts w:hint="default" w:ascii="Times New Roman" w:hAnsi="Times New Roman" w:eastAsia="Times New Roman"/>
          <w:color w:val="auto"/>
          <w:sz w:val="20"/>
          <w:szCs w:val="24"/>
        </w:rPr>
        <w:instrText xml:space="preserve">HYPERLINK https://login.consultant.ru/link/?req=doc&amp;base=LAW&amp;n=508518&amp;dst=7541 </w:instrText>
      </w:r>
      <w:r>
        <w:rPr>
          <w:rFonts w:hint="default" w:ascii="Times New Roman" w:hAnsi="Times New Roman" w:eastAsia="Times New Roman"/>
          <w:color w:val="auto"/>
          <w:sz w:val="20"/>
          <w:szCs w:val="24"/>
        </w:rPr>
        <w:fldChar w:fldCharType="separate"/>
      </w:r>
      <w:r>
        <w:rPr>
          <w:rFonts w:hint="default" w:ascii="Times New Roman" w:hAnsi="Times New Roman" w:eastAsia="Times New Roman"/>
          <w:color w:val="auto"/>
          <w:sz w:val="20"/>
          <w:szCs w:val="24"/>
        </w:rPr>
        <w:t>подпунктов 5</w:t>
      </w:r>
      <w:r>
        <w:rPr>
          <w:rFonts w:hint="default" w:ascii="Times New Roman" w:hAnsi="Times New Roman" w:eastAsia="Times New Roman"/>
          <w:color w:val="auto"/>
          <w:sz w:val="20"/>
          <w:szCs w:val="24"/>
        </w:rPr>
        <w:fldChar w:fldCharType="end"/>
      </w:r>
      <w:r>
        <w:rPr>
          <w:rFonts w:hint="default" w:ascii="Times New Roman" w:hAnsi="Times New Roman" w:eastAsia="Times New Roman"/>
          <w:color w:val="auto"/>
          <w:sz w:val="20"/>
          <w:szCs w:val="24"/>
        </w:rPr>
        <w:t xml:space="preserve">, </w:t>
      </w:r>
      <w:r>
        <w:rPr>
          <w:rFonts w:hint="default" w:ascii="Times New Roman" w:hAnsi="Times New Roman" w:eastAsia="Times New Roman"/>
          <w:color w:val="auto"/>
          <w:sz w:val="20"/>
          <w:szCs w:val="24"/>
        </w:rPr>
        <w:fldChar w:fldCharType="begin"/>
      </w:r>
      <w:r>
        <w:rPr>
          <w:rFonts w:hint="default" w:ascii="Times New Roman" w:hAnsi="Times New Roman" w:eastAsia="Times New Roman"/>
          <w:color w:val="auto"/>
          <w:sz w:val="20"/>
          <w:szCs w:val="24"/>
        </w:rPr>
        <w:instrText xml:space="preserve">HYPERLINK https://login.consultant.ru/link/?req=doc&amp;base=LAW&amp;n=508518&amp;dst=8145 </w:instrText>
      </w:r>
      <w:r>
        <w:rPr>
          <w:rFonts w:hint="default" w:ascii="Times New Roman" w:hAnsi="Times New Roman" w:eastAsia="Times New Roman"/>
          <w:color w:val="auto"/>
          <w:sz w:val="20"/>
          <w:szCs w:val="24"/>
        </w:rPr>
        <w:fldChar w:fldCharType="separate"/>
      </w:r>
      <w:r>
        <w:rPr>
          <w:rFonts w:hint="default" w:ascii="Times New Roman" w:hAnsi="Times New Roman" w:eastAsia="Times New Roman"/>
          <w:color w:val="auto"/>
          <w:sz w:val="20"/>
          <w:szCs w:val="24"/>
        </w:rPr>
        <w:t>10</w:t>
      </w:r>
      <w:r>
        <w:rPr>
          <w:rFonts w:hint="default" w:ascii="Times New Roman" w:hAnsi="Times New Roman" w:eastAsia="Times New Roman"/>
          <w:color w:val="auto"/>
          <w:sz w:val="20"/>
          <w:szCs w:val="24"/>
        </w:rPr>
        <w:fldChar w:fldCharType="end"/>
      </w:r>
      <w:r>
        <w:rPr>
          <w:rFonts w:hint="default" w:ascii="Times New Roman" w:hAnsi="Times New Roman" w:eastAsia="Times New Roman"/>
          <w:color w:val="auto"/>
          <w:sz w:val="20"/>
          <w:szCs w:val="24"/>
        </w:rPr>
        <w:t xml:space="preserve"> и </w:t>
      </w:r>
      <w:r>
        <w:rPr>
          <w:rFonts w:hint="default" w:ascii="Times New Roman" w:hAnsi="Times New Roman" w:eastAsia="Times New Roman"/>
          <w:color w:val="auto"/>
          <w:sz w:val="20"/>
          <w:szCs w:val="24"/>
        </w:rPr>
        <w:fldChar w:fldCharType="begin"/>
      </w:r>
      <w:r>
        <w:rPr>
          <w:rFonts w:hint="default" w:ascii="Times New Roman" w:hAnsi="Times New Roman" w:eastAsia="Times New Roman"/>
          <w:color w:val="auto"/>
          <w:sz w:val="20"/>
          <w:szCs w:val="24"/>
        </w:rPr>
        <w:instrText xml:space="preserve">HYPERLINK https://login.consultant.ru/link/?req=doc&amp;base=LAW&amp;n=508518&amp;dst=931 </w:instrText>
      </w:r>
      <w:r>
        <w:rPr>
          <w:rFonts w:hint="default" w:ascii="Times New Roman" w:hAnsi="Times New Roman" w:eastAsia="Times New Roman"/>
          <w:color w:val="auto"/>
          <w:sz w:val="20"/>
          <w:szCs w:val="24"/>
        </w:rPr>
        <w:fldChar w:fldCharType="separate"/>
      </w:r>
      <w:r>
        <w:rPr>
          <w:rFonts w:hint="default" w:ascii="Times New Roman" w:hAnsi="Times New Roman" w:eastAsia="Times New Roman"/>
          <w:color w:val="auto"/>
          <w:sz w:val="20"/>
          <w:szCs w:val="24"/>
        </w:rPr>
        <w:t>12 пункта 1 статьи 333.25</w:t>
      </w:r>
      <w:r>
        <w:rPr>
          <w:rFonts w:hint="default" w:ascii="Times New Roman" w:hAnsi="Times New Roman" w:eastAsia="Times New Roman"/>
          <w:color w:val="auto"/>
          <w:sz w:val="20"/>
          <w:szCs w:val="24"/>
        </w:rPr>
        <w:fldChar w:fldCharType="end"/>
      </w:r>
      <w:r>
        <w:rPr>
          <w:rFonts w:hint="default" w:ascii="Times New Roman" w:hAnsi="Times New Roman" w:eastAsia="Times New Roman"/>
          <w:color w:val="auto"/>
          <w:sz w:val="20"/>
          <w:szCs w:val="24"/>
        </w:rPr>
        <w:t xml:space="preserve"> </w:t>
      </w:r>
      <w:r>
        <w:rPr>
          <w:rFonts w:hint="default" w:ascii="Times New Roman" w:hAnsi="Times New Roman" w:eastAsia="Times New Roman"/>
          <w:sz w:val="20"/>
          <w:szCs w:val="24"/>
        </w:rPr>
        <w:t>Налогового кодекса Российской Федерации с учетом округления до целого числа по правилам математического округления</w:t>
      </w:r>
    </w:p>
    <w:p w14:paraId="216DD9B6">
      <w:pPr>
        <w:pStyle w:val="7"/>
        <w:snapToGrid w:val="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CC"/>
    <w:family w:val="roman"/>
    <w:pitch w:val="default"/>
    <w:sig w:usb0="E1002EFF" w:usb1="C000605B" w:usb2="00000029" w:usb3="00000000" w:csb0="200101FF" w:csb1="20280000"/>
  </w:font>
  <w:font w:name="Lucida Sans">
    <w:panose1 w:val="020B0602030504020204"/>
    <w:charset w:val="00"/>
    <w:family w:val="auto"/>
    <w:pitch w:val="default"/>
    <w:sig w:usb0="00000003" w:usb1="00000000" w:usb2="00000000" w:usb3="00000000" w:csb0="20000001" w:csb1="00000000"/>
  </w:font>
  <w:font w:name="Liberation Sans">
    <w:panose1 w:val="020B0604020202020204"/>
    <w:charset w:val="CC"/>
    <w:family w:val="roman"/>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08"/>
  <w:autoHyphenation/>
  <w:displayHorizontalDrawingGridEvery w:val="1"/>
  <w:displayVerticalDrawingGridEvery w:val="1"/>
  <w:noPunctuationKerning w:val="1"/>
  <w:footnotePr>
    <w:footnote w:id="0"/>
    <w:footnote w:id="1"/>
  </w:footnotePr>
  <w:endnotePr>
    <w:numFmt w:val="decimal"/>
    <w:endnote w:id="6"/>
    <w:endnote w:id="7"/>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1" w:val="TMLBFSR"/>
    <w:docVar w:name="2" w:val="MMFHSST"/>
    <w:docVar w:name="I" w:val=" 268"/>
  </w:docVars>
  <w:rsids>
    <w:rsidRoot w:val="00172A27"/>
    <w:rsid w:val="05A37CCE"/>
    <w:rsid w:val="0B3C6074"/>
    <w:rsid w:val="121750AE"/>
    <w:rsid w:val="130C4327"/>
    <w:rsid w:val="190C3AD0"/>
    <w:rsid w:val="1CB83C9A"/>
    <w:rsid w:val="26193507"/>
    <w:rsid w:val="2E540F90"/>
    <w:rsid w:val="32D408D5"/>
    <w:rsid w:val="370757D3"/>
    <w:rsid w:val="3B5677AE"/>
    <w:rsid w:val="55B478E8"/>
    <w:rsid w:val="5AFD3FB8"/>
    <w:rsid w:val="5DD66F6A"/>
    <w:rsid w:val="79FE3DB9"/>
    <w:rsid w:val="7B6326A5"/>
    <w:rsid w:val="7DFF4145"/>
    <w:rsid w:val="7E110BC7"/>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widowControl/>
      <w:suppressAutoHyphens/>
      <w:bidi w:val="0"/>
      <w:spacing w:before="0" w:after="0"/>
      <w:jc w:val="left"/>
      <w:textAlignment w:val="auto"/>
    </w:pPr>
    <w:rPr>
      <w:rFonts w:ascii="Times New Roman" w:hAnsi="Times New Roman" w:eastAsia="Cambria Math" w:cs="Times New Roman"/>
      <w:color w:val="auto"/>
      <w:kern w:val="2"/>
      <w:sz w:val="20"/>
      <w:szCs w:val="20"/>
      <w:lang w:val="ru-RU" w:eastAsia="ru-RU" w:bidi="ar-SA"/>
    </w:rPr>
  </w:style>
  <w:style w:type="character" w:default="1" w:styleId="2">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qFormat/>
    <w:uiPriority w:val="0"/>
    <w:rPr>
      <w:sz w:val="24"/>
      <w:szCs w:val="24"/>
      <w:vertAlign w:val="superscript"/>
    </w:rPr>
  </w:style>
  <w:style w:type="character" w:styleId="5">
    <w:name w:val="endnote reference"/>
    <w:qFormat/>
    <w:uiPriority w:val="0"/>
    <w:rPr>
      <w:sz w:val="24"/>
      <w:szCs w:val="24"/>
      <w:vertAlign w:val="superscript"/>
    </w:rPr>
  </w:style>
  <w:style w:type="paragraph" w:styleId="6">
    <w:name w:val="Balloon Text"/>
    <w:basedOn w:val="1"/>
    <w:qFormat/>
    <w:uiPriority w:val="0"/>
    <w:rPr>
      <w:rFonts w:ascii="Tahoma" w:hAnsi="Tahoma" w:cs="Tahoma"/>
      <w:sz w:val="16"/>
      <w:szCs w:val="16"/>
    </w:rPr>
  </w:style>
  <w:style w:type="paragraph" w:styleId="7">
    <w:name w:val="endnote text"/>
    <w:basedOn w:val="1"/>
    <w:qFormat/>
    <w:uiPriority w:val="0"/>
  </w:style>
  <w:style w:type="paragraph" w:styleId="8">
    <w:name w:val="caption"/>
    <w:basedOn w:val="1"/>
    <w:qFormat/>
    <w:uiPriority w:val="0"/>
    <w:pPr>
      <w:suppressLineNumbers/>
      <w:spacing w:before="120" w:after="120"/>
    </w:pPr>
    <w:rPr>
      <w:rFonts w:cs="Lucida Sans"/>
      <w:i/>
      <w:iCs/>
      <w:sz w:val="24"/>
      <w:szCs w:val="24"/>
    </w:rPr>
  </w:style>
  <w:style w:type="paragraph" w:styleId="9">
    <w:name w:val="footnote text"/>
    <w:basedOn w:val="1"/>
    <w:qFormat/>
    <w:uiPriority w:val="0"/>
  </w:style>
  <w:style w:type="paragraph" w:styleId="10">
    <w:name w:val="header"/>
    <w:basedOn w:val="1"/>
    <w:qFormat/>
    <w:uiPriority w:val="0"/>
    <w:pPr>
      <w:tabs>
        <w:tab w:val="center" w:pos="4153"/>
        <w:tab w:val="right" w:pos="8306"/>
      </w:tabs>
    </w:pPr>
  </w:style>
  <w:style w:type="paragraph" w:styleId="11">
    <w:name w:val="Body Text"/>
    <w:basedOn w:val="1"/>
    <w:qFormat/>
    <w:uiPriority w:val="0"/>
    <w:pPr>
      <w:jc w:val="both"/>
    </w:pPr>
    <w:rPr>
      <w:b/>
      <w:bCs/>
      <w:sz w:val="18"/>
      <w:szCs w:val="18"/>
    </w:rPr>
  </w:style>
  <w:style w:type="paragraph" w:styleId="12">
    <w:name w:val="footer"/>
    <w:basedOn w:val="1"/>
    <w:qFormat/>
    <w:uiPriority w:val="0"/>
    <w:pPr>
      <w:tabs>
        <w:tab w:val="center" w:pos="4153"/>
        <w:tab w:val="right" w:pos="8306"/>
      </w:tabs>
    </w:pPr>
  </w:style>
  <w:style w:type="paragraph" w:styleId="13">
    <w:name w:val="List"/>
    <w:basedOn w:val="11"/>
    <w:qFormat/>
    <w:uiPriority w:val="0"/>
    <w:rPr>
      <w:rFonts w:cs="Lucida Sans"/>
    </w:rPr>
  </w:style>
  <w:style w:type="character" w:customStyle="1" w:styleId="14">
    <w:name w:val="Основной шрифт"/>
    <w:qFormat/>
    <w:uiPriority w:val="0"/>
  </w:style>
  <w:style w:type="character" w:customStyle="1" w:styleId="15">
    <w:name w:val="Верхний колонтитул Знак"/>
    <w:basedOn w:val="2"/>
    <w:qFormat/>
    <w:uiPriority w:val="0"/>
  </w:style>
  <w:style w:type="character" w:customStyle="1" w:styleId="16">
    <w:name w:val="Нижний колонтитул Знак"/>
    <w:basedOn w:val="2"/>
    <w:qFormat/>
    <w:uiPriority w:val="0"/>
  </w:style>
  <w:style w:type="character" w:customStyle="1" w:styleId="17">
    <w:name w:val="Основной текст Знак"/>
    <w:basedOn w:val="2"/>
    <w:qFormat/>
    <w:uiPriority w:val="0"/>
  </w:style>
  <w:style w:type="character" w:customStyle="1" w:styleId="18">
    <w:name w:val="Текст выноски Знак"/>
    <w:basedOn w:val="2"/>
    <w:qFormat/>
    <w:uiPriority w:val="0"/>
    <w:rPr>
      <w:rFonts w:ascii="Tahoma" w:hAnsi="Tahoma" w:cs="Tahoma"/>
      <w:sz w:val="16"/>
      <w:szCs w:val="16"/>
    </w:rPr>
  </w:style>
  <w:style w:type="character" w:customStyle="1" w:styleId="19">
    <w:name w:val="Текст концевой сноски Знак"/>
    <w:basedOn w:val="2"/>
    <w:qFormat/>
    <w:uiPriority w:val="0"/>
  </w:style>
  <w:style w:type="character" w:customStyle="1" w:styleId="20">
    <w:name w:val="Символ концевой сноски"/>
    <w:qFormat/>
    <w:uiPriority w:val="0"/>
    <w:rPr>
      <w:sz w:val="24"/>
      <w:szCs w:val="24"/>
      <w:vertAlign w:val="superscript"/>
    </w:rPr>
  </w:style>
  <w:style w:type="character" w:customStyle="1" w:styleId="21">
    <w:name w:val="Текст сноски Знак"/>
    <w:basedOn w:val="2"/>
    <w:qFormat/>
    <w:uiPriority w:val="0"/>
  </w:style>
  <w:style w:type="character" w:customStyle="1" w:styleId="22">
    <w:name w:val="Символ сноски"/>
    <w:qFormat/>
    <w:uiPriority w:val="0"/>
    <w:rPr>
      <w:sz w:val="24"/>
      <w:szCs w:val="24"/>
      <w:vertAlign w:val="superscript"/>
    </w:rPr>
  </w:style>
  <w:style w:type="paragraph" w:customStyle="1" w:styleId="23">
    <w:name w:val="Заголовок"/>
    <w:basedOn w:val="1"/>
    <w:next w:val="11"/>
    <w:qFormat/>
    <w:uiPriority w:val="0"/>
    <w:pPr>
      <w:keepNext/>
      <w:spacing w:before="240" w:after="120"/>
    </w:pPr>
    <w:rPr>
      <w:rFonts w:ascii="Liberation Sans" w:hAnsi="Liberation Sans" w:eastAsia="Microsoft YaHei" w:cs="Lucida Sans"/>
      <w:sz w:val="28"/>
      <w:szCs w:val="28"/>
    </w:rPr>
  </w:style>
  <w:style w:type="paragraph" w:customStyle="1" w:styleId="24">
    <w:name w:val="Указатель1"/>
    <w:basedOn w:val="1"/>
    <w:qFormat/>
    <w:uiPriority w:val="0"/>
    <w:pPr>
      <w:suppressLineNumbers/>
    </w:pPr>
    <w:rPr>
      <w:rFonts w:cs="Lucida Sans"/>
    </w:rPr>
  </w:style>
  <w:style w:type="paragraph" w:customStyle="1" w:styleId="25">
    <w:name w:val="Обычная таблица1"/>
    <w:qFormat/>
    <w:uiPriority w:val="0"/>
    <w:pPr>
      <w:widowControl/>
      <w:suppressAutoHyphens/>
      <w:bidi w:val="0"/>
      <w:spacing w:before="0" w:after="200" w:line="276" w:lineRule="auto"/>
      <w:jc w:val="left"/>
      <w:textAlignment w:val="auto"/>
    </w:pPr>
    <w:rPr>
      <w:rFonts w:ascii="Times New Roman" w:hAnsi="Times New Roman" w:eastAsia="Cambria Math" w:cs="Times New Roman"/>
      <w:color w:val="auto"/>
      <w:kern w:val="2"/>
      <w:sz w:val="22"/>
      <w:szCs w:val="22"/>
      <w:lang w:val="ru-RU" w:eastAsia="ru-RU" w:bidi="ar-SA"/>
    </w:rPr>
  </w:style>
  <w:style w:type="paragraph" w:customStyle="1" w:styleId="26">
    <w:name w:val="Колонтитул"/>
    <w:basedOn w:val="1"/>
    <w:qFormat/>
    <w:uiPriority w:val="0"/>
  </w:style>
  <w:style w:type="paragraph" w:customStyle="1" w:styleId="27">
    <w:name w:val="ConsCell"/>
    <w:qFormat/>
    <w:uiPriority w:val="0"/>
    <w:pPr>
      <w:widowControl w:val="0"/>
      <w:suppressAutoHyphens/>
      <w:bidi w:val="0"/>
      <w:spacing w:before="0" w:after="0"/>
      <w:jc w:val="left"/>
      <w:textAlignment w:val="baseline"/>
    </w:pPr>
    <w:rPr>
      <w:rFonts w:ascii="Arial" w:hAnsi="Arial" w:eastAsia="Cambria Math" w:cs="Times New Roman"/>
      <w:color w:val="auto"/>
      <w:kern w:val="2"/>
      <w:sz w:val="20"/>
      <w:szCs w:val="20"/>
      <w:lang w:val="ru-RU" w:eastAsia="ru-RU" w:bidi="ar-SA"/>
    </w:rPr>
  </w:style>
  <w:style w:type="paragraph" w:customStyle="1" w:styleId="28">
    <w:name w:val="Default"/>
    <w:qFormat/>
    <w:uiPriority w:val="0"/>
    <w:pPr>
      <w:widowControl/>
      <w:suppressAutoHyphens/>
      <w:bidi w:val="0"/>
      <w:spacing w:before="0" w:after="0"/>
      <w:jc w:val="left"/>
      <w:textAlignment w:val="auto"/>
    </w:pPr>
    <w:rPr>
      <w:rFonts w:ascii="Times New Roman" w:hAnsi="Times New Roman" w:eastAsia="Cambria Math" w:cs="Times New Roman"/>
      <w:color w:val="000000"/>
      <w:kern w:val="2"/>
      <w:sz w:val="24"/>
      <w:szCs w:val="24"/>
      <w:lang w:val="ru-RU" w:eastAsia="ru-RU" w:bidi="ar-SA"/>
    </w:rPr>
  </w:style>
  <w:style w:type="paragraph" w:customStyle="1" w:styleId="29">
    <w:name w:val="ConsPlusNormal"/>
    <w:qFormat/>
    <w:uiPriority w:val="0"/>
    <w:pPr>
      <w:widowControl w:val="0"/>
      <w:suppressAutoHyphens/>
      <w:bidi w:val="0"/>
      <w:spacing w:before="0" w:after="0"/>
      <w:jc w:val="left"/>
      <w:textAlignment w:val="auto"/>
    </w:pPr>
    <w:rPr>
      <w:rFonts w:ascii="Calibri" w:hAnsi="Calibri" w:eastAsia="Cambria Math" w:cs="Calibri"/>
      <w:color w:val="auto"/>
      <w:kern w:val="2"/>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1047</Words>
  <Characters>6715</Characters>
  <Paragraphs>125</Paragraphs>
  <TotalTime>55</TotalTime>
  <ScaleCrop>false</ScaleCrop>
  <LinksUpToDate>false</LinksUpToDate>
  <CharactersWithSpaces>7748</CharactersWithSpaces>
  <Application>WPS Office_12.2.0.21546_F1E327BC-269C-435d-A152-05C5408002CA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2025-07-08T07:24:00Z</dcterms:created>
  <dc:creator>izvereva</dc:creator>
  <cp:lastModifiedBy>IZvereva</cp:lastModifiedBy>
  <cp:lastPrinted>2025-07-25T13:42:07Z</cp:lastPrinted>
  <dcterms:modified xsi:type="dcterms:W3CDTF">2025-07-25T14:56:31Z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Kev</vt:lpwstr>
  </property>
  <property fmtid="{D5CDD505-2E9C-101B-9397-08002B2CF9AE}" pid="3" name="KSOProductBuildVer">
    <vt:lpwstr>1049-12.2.0.21546</vt:lpwstr>
  </property>
  <property fmtid="{D5CDD505-2E9C-101B-9397-08002B2CF9AE}" pid="4" name="ICV">
    <vt:lpwstr>5D33346C459C4C54A4964017F3C2B7E8_13</vt:lpwstr>
  </property>
</Properties>
</file>